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9B85" w14:textId="4D31F859" w:rsidR="00E23B8B" w:rsidRPr="00FA3777" w:rsidRDefault="00E23B8B" w:rsidP="00E23B8B">
      <w:pPr>
        <w:spacing w:before="120" w:after="120"/>
        <w:jc w:val="center"/>
        <w:rPr>
          <w:rFonts w:ascii="Times New Roman" w:hAnsi="Times New Roman" w:cs="Times New Roman"/>
          <w:b/>
          <w:bCs/>
          <w:sz w:val="28"/>
          <w:szCs w:val="28"/>
          <w:lang w:val="pl-PL"/>
        </w:rPr>
      </w:pPr>
      <w:r w:rsidRPr="00FA3777">
        <w:rPr>
          <w:rFonts w:ascii="Times New Roman" w:hAnsi="Times New Roman" w:cs="Times New Roman"/>
          <w:b/>
          <w:bCs/>
          <w:sz w:val="28"/>
          <w:szCs w:val="28"/>
          <w:lang w:val="pl-PL"/>
        </w:rPr>
        <w:t>Regulamin zgłoszeń wewnętrznych</w:t>
      </w:r>
      <w:r w:rsidR="00BE285B" w:rsidRPr="00FA3777">
        <w:rPr>
          <w:rFonts w:ascii="Times New Roman" w:hAnsi="Times New Roman" w:cs="Times New Roman"/>
          <w:b/>
          <w:bCs/>
          <w:sz w:val="28"/>
          <w:szCs w:val="28"/>
          <w:lang w:val="pl-PL"/>
        </w:rPr>
        <w:t xml:space="preserve"> nieprawidłowości</w:t>
      </w:r>
    </w:p>
    <w:p w14:paraId="6B0D1B59" w14:textId="784AA56E" w:rsidR="00E23B8B" w:rsidRPr="00FA3777" w:rsidRDefault="00E23B8B" w:rsidP="00E23B8B">
      <w:pPr>
        <w:spacing w:before="120" w:after="120"/>
        <w:jc w:val="both"/>
        <w:rPr>
          <w:rFonts w:ascii="Times New Roman" w:hAnsi="Times New Roman" w:cs="Times New Roman"/>
          <w:lang w:val="pl-PL"/>
        </w:rPr>
      </w:pPr>
      <w:r w:rsidRPr="00FA3777">
        <w:rPr>
          <w:rFonts w:ascii="Times New Roman" w:hAnsi="Times New Roman" w:cs="Times New Roman"/>
          <w:lang w:val="pl-PL"/>
        </w:rPr>
        <w:t>Na podstawie art. 2</w:t>
      </w:r>
      <w:r w:rsidR="009D34D8" w:rsidRPr="00FA3777">
        <w:rPr>
          <w:rFonts w:ascii="Times New Roman" w:hAnsi="Times New Roman" w:cs="Times New Roman"/>
          <w:lang w:val="pl-PL"/>
        </w:rPr>
        <w:t>5</w:t>
      </w:r>
      <w:r w:rsidR="009F1CD8" w:rsidRPr="00FA3777">
        <w:rPr>
          <w:rFonts w:ascii="Times New Roman" w:hAnsi="Times New Roman" w:cs="Times New Roman"/>
          <w:lang w:val="pl-PL"/>
        </w:rPr>
        <w:t xml:space="preserve"> </w:t>
      </w:r>
      <w:r w:rsidRPr="00FA3777">
        <w:rPr>
          <w:rFonts w:ascii="Times New Roman" w:hAnsi="Times New Roman" w:cs="Times New Roman"/>
          <w:lang w:val="pl-PL"/>
        </w:rPr>
        <w:t xml:space="preserve">ustawy o ochronie </w:t>
      </w:r>
      <w:r w:rsidR="009D34D8" w:rsidRPr="00FA3777">
        <w:rPr>
          <w:rFonts w:ascii="Times New Roman" w:hAnsi="Times New Roman" w:cs="Times New Roman"/>
          <w:lang w:val="pl-PL"/>
        </w:rPr>
        <w:t>sygnalistów z dnia 14 czerwca 2024 r</w:t>
      </w:r>
      <w:r w:rsidR="009D34D8" w:rsidRPr="00FA3777">
        <w:rPr>
          <w:rFonts w:ascii="Times New Roman" w:hAnsi="Times New Roman" w:cs="Times New Roman"/>
          <w:i/>
          <w:iCs/>
          <w:lang w:val="pl-PL"/>
        </w:rPr>
        <w:t>.</w:t>
      </w:r>
      <w:r w:rsidRPr="00FA3777">
        <w:rPr>
          <w:rFonts w:ascii="Times New Roman" w:hAnsi="Times New Roman" w:cs="Times New Roman"/>
          <w:lang w:val="pl-PL"/>
        </w:rPr>
        <w:t xml:space="preserve"> ustanawia się regulamin określający wewnętrzną procedurę zgłaszania naruszeń prawa i podejmowania działań następczych</w:t>
      </w:r>
      <w:r w:rsidR="00576254" w:rsidRPr="00FA3777">
        <w:rPr>
          <w:rFonts w:ascii="Times New Roman" w:hAnsi="Times New Roman" w:cs="Times New Roman"/>
          <w:lang w:val="pl-PL"/>
        </w:rPr>
        <w:t xml:space="preserve"> w </w:t>
      </w:r>
      <w:r w:rsidR="008F686A">
        <w:rPr>
          <w:rFonts w:ascii="Times New Roman" w:hAnsi="Times New Roman" w:cs="Times New Roman"/>
          <w:lang w:val="pl-PL"/>
        </w:rPr>
        <w:t>Ośrodku Sportu i rekreacji w Piotrkowie Trybunalskim</w:t>
      </w:r>
      <w:r w:rsidR="00C37016" w:rsidRPr="00C37016">
        <w:rPr>
          <w:rFonts w:ascii="Times New Roman" w:hAnsi="Times New Roman" w:cs="Times New Roman"/>
          <w:lang w:val="pl-PL"/>
        </w:rPr>
        <w:t xml:space="preserve"> </w:t>
      </w:r>
      <w:r w:rsidRPr="00FA3777">
        <w:rPr>
          <w:rFonts w:ascii="Times New Roman" w:hAnsi="Times New Roman" w:cs="Times New Roman"/>
          <w:lang w:val="pl-PL"/>
        </w:rPr>
        <w:t xml:space="preserve">w brzmieniu określonym w załączniku. </w:t>
      </w:r>
    </w:p>
    <w:p w14:paraId="70DF2408" w14:textId="0ACC788B" w:rsidR="00E23B8B" w:rsidRPr="00FA3777" w:rsidRDefault="00E23B8B" w:rsidP="005F132E">
      <w:pPr>
        <w:spacing w:before="120" w:after="120"/>
        <w:jc w:val="both"/>
        <w:rPr>
          <w:rFonts w:ascii="Times New Roman" w:hAnsi="Times New Roman" w:cs="Times New Roman"/>
          <w:lang w:val="pl-PL"/>
        </w:rPr>
      </w:pPr>
      <w:r w:rsidRPr="00FA3777">
        <w:rPr>
          <w:rFonts w:ascii="Times New Roman" w:hAnsi="Times New Roman" w:cs="Times New Roman"/>
          <w:lang w:val="pl-PL"/>
        </w:rPr>
        <w:t>Do przyjmowania zgłoszeń oraz do prowadzenia działań następczych upoważnia się</w:t>
      </w:r>
      <w:r w:rsidR="0084039B" w:rsidRPr="00FA3777">
        <w:rPr>
          <w:rFonts w:ascii="Times New Roman" w:hAnsi="Times New Roman" w:cs="Times New Roman"/>
          <w:lang w:val="pl-PL"/>
        </w:rPr>
        <w:t xml:space="preserve"> </w:t>
      </w:r>
      <w:r w:rsidR="007D7C9D" w:rsidRPr="00FA3777">
        <w:rPr>
          <w:rFonts w:ascii="Times New Roman" w:hAnsi="Times New Roman" w:cs="Times New Roman"/>
          <w:lang w:val="pl-PL"/>
        </w:rPr>
        <w:t>Pana Piotra Prylińskiego</w:t>
      </w:r>
      <w:r w:rsidR="007F2157" w:rsidRPr="00FA3777">
        <w:rPr>
          <w:rFonts w:ascii="Times New Roman" w:hAnsi="Times New Roman" w:cs="Times New Roman"/>
          <w:lang w:val="pl-PL"/>
        </w:rPr>
        <w:t>,</w:t>
      </w:r>
      <w:r w:rsidR="007D7C9D" w:rsidRPr="00FA3777">
        <w:rPr>
          <w:rFonts w:ascii="Times New Roman" w:hAnsi="Times New Roman" w:cs="Times New Roman"/>
          <w:lang w:val="pl-PL"/>
        </w:rPr>
        <w:t xml:space="preserve"> </w:t>
      </w:r>
      <w:r w:rsidR="007D7C9D" w:rsidRPr="00AD5486">
        <w:rPr>
          <w:rFonts w:ascii="Times New Roman" w:hAnsi="Times New Roman" w:cs="Times New Roman"/>
          <w:color w:val="000000" w:themeColor="text1"/>
          <w:lang w:val="pl-PL"/>
        </w:rPr>
        <w:t>reprezentującego firmę Centrum konsultingowo – edukacyjne Nawigator Danych</w:t>
      </w:r>
      <w:r w:rsidR="007F2157" w:rsidRPr="00AD5486">
        <w:rPr>
          <w:rFonts w:ascii="Times New Roman" w:hAnsi="Times New Roman" w:cs="Times New Roman"/>
          <w:color w:val="000000" w:themeColor="text1"/>
          <w:lang w:val="pl-PL"/>
        </w:rPr>
        <w:t xml:space="preserve"> (</w:t>
      </w:r>
      <w:r w:rsidR="00FA3777" w:rsidRPr="00AD5486">
        <w:rPr>
          <w:rFonts w:ascii="Times New Roman" w:hAnsi="Times New Roman" w:cs="Times New Roman"/>
          <w:color w:val="000000" w:themeColor="text1"/>
          <w:lang w:val="pl-PL"/>
        </w:rPr>
        <w:t>NIP:7712865125, ul. Cedrowa 15, 97-300 Piotrków Tryb</w:t>
      </w:r>
      <w:r w:rsidR="007F2157" w:rsidRPr="00AD5486">
        <w:rPr>
          <w:rFonts w:ascii="Times New Roman" w:hAnsi="Times New Roman" w:cs="Times New Roman"/>
          <w:color w:val="000000" w:themeColor="text1"/>
          <w:lang w:val="pl-PL"/>
        </w:rPr>
        <w:t>)</w:t>
      </w:r>
      <w:r w:rsidR="0084039B" w:rsidRPr="00AD5486">
        <w:rPr>
          <w:rFonts w:ascii="Times New Roman" w:hAnsi="Times New Roman" w:cs="Times New Roman"/>
          <w:color w:val="000000" w:themeColor="text1"/>
          <w:lang w:val="pl-PL"/>
        </w:rPr>
        <w:t>,</w:t>
      </w:r>
      <w:r w:rsidRPr="00AD5486">
        <w:rPr>
          <w:rFonts w:ascii="Times New Roman" w:hAnsi="Times New Roman" w:cs="Times New Roman"/>
          <w:color w:val="000000" w:themeColor="text1"/>
          <w:lang w:val="pl-PL"/>
        </w:rPr>
        <w:t xml:space="preserve"> zwan</w:t>
      </w:r>
      <w:r w:rsidR="007D7C9D" w:rsidRPr="00AD5486">
        <w:rPr>
          <w:rFonts w:ascii="Times New Roman" w:hAnsi="Times New Roman" w:cs="Times New Roman"/>
          <w:color w:val="000000" w:themeColor="text1"/>
          <w:lang w:val="pl-PL"/>
        </w:rPr>
        <w:t>ego</w:t>
      </w:r>
      <w:r w:rsidRPr="00AD5486">
        <w:rPr>
          <w:rFonts w:ascii="Times New Roman" w:hAnsi="Times New Roman" w:cs="Times New Roman"/>
          <w:color w:val="000000" w:themeColor="text1"/>
          <w:lang w:val="pl-PL"/>
        </w:rPr>
        <w:t xml:space="preserve"> dalej pełnomocnikiem. Pełnomocnik jest upoważniony do udzielania dalszych upoważnień w trybie </w:t>
      </w:r>
      <w:r w:rsidRPr="00FA3777">
        <w:rPr>
          <w:rFonts w:ascii="Times New Roman" w:hAnsi="Times New Roman" w:cs="Times New Roman"/>
          <w:lang w:val="pl-PL"/>
        </w:rPr>
        <w:t xml:space="preserve">przewidzianym regulaminem.  </w:t>
      </w:r>
    </w:p>
    <w:p w14:paraId="4478C493" w14:textId="7BA178E8" w:rsidR="00E23B8B" w:rsidRPr="00FA3777" w:rsidRDefault="00E23B8B" w:rsidP="00E23B8B">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W zakresie zadań przewidzianych procedurą pełnomocnik podlega bezpośrednio </w:t>
      </w:r>
      <w:r w:rsidR="005F132E" w:rsidRPr="00FA3777">
        <w:rPr>
          <w:rFonts w:ascii="Times New Roman" w:hAnsi="Times New Roman" w:cs="Times New Roman"/>
          <w:lang w:val="pl-PL"/>
        </w:rPr>
        <w:t xml:space="preserve">dyrektorowi </w:t>
      </w:r>
      <w:r w:rsidRPr="00FA3777">
        <w:rPr>
          <w:rFonts w:ascii="Times New Roman" w:hAnsi="Times New Roman" w:cs="Times New Roman"/>
          <w:lang w:val="pl-PL"/>
        </w:rPr>
        <w:t xml:space="preserve">jednostki.  </w:t>
      </w:r>
    </w:p>
    <w:p w14:paraId="493DF942" w14:textId="77777777" w:rsidR="00E23B8B" w:rsidRPr="00FA3777" w:rsidRDefault="00E23B8B" w:rsidP="00E23B8B">
      <w:pPr>
        <w:pStyle w:val="Akapitzlist"/>
        <w:numPr>
          <w:ilvl w:val="0"/>
          <w:numId w:val="10"/>
        </w:numPr>
        <w:spacing w:before="120" w:after="120"/>
        <w:ind w:left="714" w:hanging="357"/>
        <w:contextualSpacing w:val="0"/>
        <w:jc w:val="both"/>
        <w:rPr>
          <w:rFonts w:ascii="Times New Roman" w:hAnsi="Times New Roman" w:cs="Times New Roman"/>
          <w:lang w:val="pl-PL"/>
        </w:rPr>
      </w:pPr>
      <w:r w:rsidRPr="00FA3777">
        <w:rPr>
          <w:rFonts w:ascii="Times New Roman" w:hAnsi="Times New Roman" w:cs="Times New Roman"/>
          <w:lang w:val="pl-PL"/>
        </w:rPr>
        <w:t xml:space="preserve">Kierownicy komórek organizacyjnych i pracownicy jednostki są zobowiązani do udzielania pomocy pełnomocnikowi i innym osobom w realizacji czynności przewidzianych procedurą. </w:t>
      </w:r>
    </w:p>
    <w:p w14:paraId="69903E47" w14:textId="63CDE973" w:rsidR="00E23B8B" w:rsidRPr="00FA3777" w:rsidRDefault="00E23B8B" w:rsidP="00E23B8B">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Zakazuje się ujawniania tożsamości oraz innych danych pozwalających na ustalenie tożsamości osób zgłaszających naruszenia prawa (dalej: sygnalistów)</w:t>
      </w:r>
      <w:r w:rsidR="00954973" w:rsidRPr="00FA3777">
        <w:rPr>
          <w:rFonts w:ascii="Times New Roman" w:hAnsi="Times New Roman" w:cs="Times New Roman"/>
          <w:lang w:val="pl-PL"/>
        </w:rPr>
        <w:t>.</w:t>
      </w:r>
    </w:p>
    <w:p w14:paraId="5DB219CF" w14:textId="77777777" w:rsidR="00E23B8B" w:rsidRPr="00FA3777" w:rsidRDefault="00E23B8B" w:rsidP="00E23B8B">
      <w:pPr>
        <w:spacing w:before="120" w:after="120"/>
        <w:ind w:left="720"/>
        <w:jc w:val="both"/>
        <w:rPr>
          <w:rFonts w:ascii="Times New Roman" w:hAnsi="Times New Roman" w:cs="Times New Roman"/>
          <w:lang w:val="pl-PL"/>
        </w:rPr>
      </w:pPr>
      <w:r w:rsidRPr="00FA3777">
        <w:rPr>
          <w:rFonts w:ascii="Times New Roman" w:hAnsi="Times New Roman" w:cs="Times New Roman"/>
          <w:lang w:val="pl-PL"/>
        </w:rPr>
        <w:t xml:space="preserve">Zakaz obowiązuje wszystkie osoby, bez względu na to w jaki sposób weszły w posiadanie danych o tożsamości sygnalisty. </w:t>
      </w:r>
    </w:p>
    <w:p w14:paraId="1495093F" w14:textId="689EF0F4" w:rsidR="00E23B8B" w:rsidRPr="00FA3777" w:rsidRDefault="00E23B8B" w:rsidP="00E23B8B">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Sygnaliści podlegają ochronie. Zakazuje się prowadzenia działań odwetowych wobec sygnalistów, w szczególności działań wymieniowych w artykule 19 dyrektywy 2019/1937 z dnia 23 października 2019 r. w sprawie ochrony osób zgłaszających naruszenia prawa Unii oraz w rozdziale 2 </w:t>
      </w:r>
      <w:r w:rsidR="001B411C" w:rsidRPr="00FA3777">
        <w:rPr>
          <w:rFonts w:ascii="Times New Roman" w:hAnsi="Times New Roman" w:cs="Times New Roman"/>
          <w:lang w:val="pl-PL"/>
        </w:rPr>
        <w:t>ustawy o</w:t>
      </w:r>
      <w:r w:rsidR="009D34D8" w:rsidRPr="00FA3777">
        <w:rPr>
          <w:rFonts w:ascii="Times New Roman" w:hAnsi="Times New Roman" w:cs="Times New Roman"/>
          <w:lang w:val="pl-PL"/>
        </w:rPr>
        <w:t xml:space="preserve"> ochronie sygnalistów.</w:t>
      </w:r>
    </w:p>
    <w:p w14:paraId="349070B5" w14:textId="77777777" w:rsidR="00E23B8B" w:rsidRPr="00FA3777" w:rsidRDefault="00E23B8B" w:rsidP="00E23B8B">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Z ochrony przed działaniami odwetowymi korzystają także: </w:t>
      </w:r>
    </w:p>
    <w:p w14:paraId="244099C9" w14:textId="77777777" w:rsidR="00E23B8B" w:rsidRPr="00FA3777" w:rsidRDefault="00E23B8B" w:rsidP="00E23B8B">
      <w:pPr>
        <w:pStyle w:val="Akapitzlist"/>
        <w:numPr>
          <w:ilvl w:val="1"/>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osoby pomagające dokonać zgłoszenia, </w:t>
      </w:r>
    </w:p>
    <w:p w14:paraId="5D58792D" w14:textId="77777777" w:rsidR="00E23B8B" w:rsidRPr="00FA3777" w:rsidRDefault="00E23B8B" w:rsidP="00E23B8B">
      <w:pPr>
        <w:pStyle w:val="Akapitzlist"/>
        <w:numPr>
          <w:ilvl w:val="1"/>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inne osoby powiązane z sygnalistami, które mogą doświadczyć działań odwetowych w kontekście związanym z pracą, takie jak współpracownicy lub krewni sygnalistów,</w:t>
      </w:r>
    </w:p>
    <w:p w14:paraId="262DA64A" w14:textId="77777777" w:rsidR="00E23B8B" w:rsidRPr="00FA3777" w:rsidRDefault="00E23B8B" w:rsidP="00E23B8B">
      <w:pPr>
        <w:pStyle w:val="Akapitzlist"/>
        <w:numPr>
          <w:ilvl w:val="1"/>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osoby prawne, które stanowią własność sygnalisty, </w:t>
      </w:r>
    </w:p>
    <w:p w14:paraId="405130C9" w14:textId="77777777" w:rsidR="00E23B8B" w:rsidRPr="00FA3777" w:rsidRDefault="00E23B8B" w:rsidP="00E23B8B">
      <w:pPr>
        <w:pStyle w:val="Akapitzlist"/>
        <w:numPr>
          <w:ilvl w:val="1"/>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osoby fizyczne i prawne, dla których sygnalista pracuje lub które są w inny sposób z nim powiązane w kontekście związanym z pracą. </w:t>
      </w:r>
    </w:p>
    <w:p w14:paraId="05C968F0" w14:textId="5C869C60" w:rsidR="00E23B8B" w:rsidRPr="00FA3777" w:rsidRDefault="00E23B8B" w:rsidP="00E23B8B">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Zakazuje się ujawniania tożsamości sygnalisty wbrew przepisom oraz prowadzenia działań odwetowych wobec sygnalistów, w szczególności działań wymieniowych w artykule 19 dyrektywy 2019/1937 z dnia 23 października 2019 r. w sprawie ochrony osób zgłaszających naruszenia prawa Unii oraz w rozdziale 2 ustawy o </w:t>
      </w:r>
      <w:r w:rsidR="00445F62" w:rsidRPr="00FA3777">
        <w:rPr>
          <w:rFonts w:ascii="Times New Roman" w:hAnsi="Times New Roman" w:cs="Times New Roman"/>
          <w:lang w:val="pl-PL"/>
        </w:rPr>
        <w:t>ochronie sygnalistów.</w:t>
      </w:r>
    </w:p>
    <w:p w14:paraId="0BC1DB96" w14:textId="6C6D33BC" w:rsidR="00E23B8B" w:rsidRPr="00FA3777" w:rsidRDefault="009D34D8" w:rsidP="009D34D8">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Dane osobowe oraz pozostałe informacje w rejestrze zgłoszeń wewnętrznych są przechowywane przez okres 3 lat po zakończeniu roku kalendarzowego, w którym zakończono działania następcze, lub po zakończeniu postępowań zainicjowanych tymi działaniam</w:t>
      </w:r>
      <w:r w:rsidR="00897E62" w:rsidRPr="00FA3777">
        <w:rPr>
          <w:rFonts w:ascii="Times New Roman" w:hAnsi="Times New Roman" w:cs="Times New Roman"/>
          <w:lang w:val="pl-PL"/>
        </w:rPr>
        <w:t>i.</w:t>
      </w:r>
    </w:p>
    <w:p w14:paraId="2711C5E3" w14:textId="26014F88" w:rsidR="00E23B8B" w:rsidRPr="00FA3777" w:rsidRDefault="00E23B8B" w:rsidP="00E23B8B">
      <w:pPr>
        <w:pStyle w:val="Akapitzlist"/>
        <w:numPr>
          <w:ilvl w:val="0"/>
          <w:numId w:val="10"/>
        </w:numPr>
        <w:spacing w:before="120" w:after="120"/>
        <w:contextualSpacing w:val="0"/>
        <w:jc w:val="both"/>
        <w:rPr>
          <w:rFonts w:ascii="Times New Roman" w:hAnsi="Times New Roman" w:cs="Times New Roman"/>
          <w:lang w:val="pl-PL"/>
        </w:rPr>
      </w:pPr>
      <w:r w:rsidRPr="00FA3777">
        <w:rPr>
          <w:rFonts w:ascii="Times New Roman" w:hAnsi="Times New Roman" w:cs="Times New Roman"/>
          <w:lang w:val="pl-PL"/>
        </w:rPr>
        <w:t xml:space="preserve">Sygnaliści i inne osoby korzystające z ochrony, wobec których podejmowane są działania odwetowe, zgłaszają ten fakt </w:t>
      </w:r>
      <w:r w:rsidR="005F132E" w:rsidRPr="00FA3777">
        <w:rPr>
          <w:rFonts w:ascii="Times New Roman" w:hAnsi="Times New Roman" w:cs="Times New Roman"/>
          <w:lang w:val="pl-PL"/>
        </w:rPr>
        <w:t>dyrektorowi</w:t>
      </w:r>
      <w:r w:rsidRPr="00FA3777">
        <w:rPr>
          <w:rFonts w:ascii="Times New Roman" w:hAnsi="Times New Roman" w:cs="Times New Roman"/>
          <w:lang w:val="pl-PL"/>
        </w:rPr>
        <w:t xml:space="preserve"> za pośrednictwem pełnomocnika, w celu podjęcia stosownych działań zapewniających ochronę. </w:t>
      </w:r>
    </w:p>
    <w:p w14:paraId="5E08F492" w14:textId="77777777" w:rsidR="00E23B8B" w:rsidRPr="00FA3777" w:rsidRDefault="00E23B8B" w:rsidP="00E23B8B">
      <w:pPr>
        <w:pStyle w:val="Akapitzlist"/>
        <w:spacing w:before="120" w:after="120"/>
        <w:ind w:left="1440"/>
        <w:contextualSpacing w:val="0"/>
        <w:jc w:val="both"/>
        <w:rPr>
          <w:rFonts w:ascii="Times New Roman" w:hAnsi="Times New Roman" w:cs="Times New Roman"/>
          <w:lang w:val="pl-PL"/>
        </w:rPr>
      </w:pPr>
    </w:p>
    <w:p w14:paraId="4E074D0C" w14:textId="77777777" w:rsidR="009D34D8" w:rsidRDefault="009D34D8" w:rsidP="00E23B8B">
      <w:pPr>
        <w:pStyle w:val="Akapitzlist"/>
        <w:spacing w:before="120" w:after="120"/>
        <w:ind w:left="1440"/>
        <w:contextualSpacing w:val="0"/>
        <w:jc w:val="both"/>
        <w:rPr>
          <w:rFonts w:ascii="Times New Roman" w:hAnsi="Times New Roman" w:cs="Times New Roman"/>
          <w:lang w:val="pl-PL"/>
        </w:rPr>
      </w:pPr>
    </w:p>
    <w:p w14:paraId="3DECB831" w14:textId="77777777" w:rsidR="00AE53DB" w:rsidRPr="00FA3777" w:rsidRDefault="00AE53DB" w:rsidP="00E23B8B">
      <w:pPr>
        <w:pStyle w:val="Akapitzlist"/>
        <w:spacing w:before="120" w:after="120"/>
        <w:ind w:left="1440"/>
        <w:contextualSpacing w:val="0"/>
        <w:jc w:val="both"/>
        <w:rPr>
          <w:rFonts w:ascii="Times New Roman" w:hAnsi="Times New Roman" w:cs="Times New Roman"/>
          <w:lang w:val="pl-PL"/>
        </w:rPr>
      </w:pPr>
    </w:p>
    <w:p w14:paraId="189B7A14" w14:textId="77777777" w:rsidR="00E23B8B" w:rsidRPr="00FA3777" w:rsidRDefault="00E23B8B" w:rsidP="00E23B8B">
      <w:pPr>
        <w:jc w:val="center"/>
        <w:rPr>
          <w:rFonts w:ascii="Times New Roman" w:hAnsi="Times New Roman" w:cs="Times New Roman"/>
          <w:b/>
          <w:bCs/>
          <w:sz w:val="28"/>
          <w:szCs w:val="28"/>
          <w:lang w:val="pl-PL"/>
        </w:rPr>
      </w:pPr>
      <w:r w:rsidRPr="00FA3777">
        <w:rPr>
          <w:rFonts w:ascii="Times New Roman" w:hAnsi="Times New Roman" w:cs="Times New Roman"/>
          <w:b/>
          <w:bCs/>
          <w:sz w:val="28"/>
          <w:szCs w:val="28"/>
          <w:lang w:val="pl-PL"/>
        </w:rPr>
        <w:lastRenderedPageBreak/>
        <w:t>Załącznik</w:t>
      </w:r>
    </w:p>
    <w:p w14:paraId="1FA72078" w14:textId="77777777" w:rsidR="00E23B8B" w:rsidRPr="00FA3777" w:rsidRDefault="00E23B8B" w:rsidP="00E23B8B">
      <w:pPr>
        <w:jc w:val="center"/>
        <w:rPr>
          <w:rFonts w:ascii="Times New Roman" w:hAnsi="Times New Roman" w:cs="Times New Roman"/>
          <w:b/>
          <w:bCs/>
          <w:sz w:val="28"/>
          <w:szCs w:val="28"/>
          <w:lang w:val="pl-PL"/>
        </w:rPr>
      </w:pPr>
      <w:r w:rsidRPr="00FA3777">
        <w:rPr>
          <w:rFonts w:ascii="Times New Roman" w:hAnsi="Times New Roman" w:cs="Times New Roman"/>
          <w:b/>
          <w:bCs/>
          <w:sz w:val="28"/>
          <w:szCs w:val="28"/>
          <w:lang w:val="pl-PL"/>
        </w:rPr>
        <w:t>Procedura zgłaszania naruszeń prawa i podejmowania działań następczych</w:t>
      </w:r>
    </w:p>
    <w:p w14:paraId="69954ED8"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Zakres procedury</w:t>
      </w:r>
    </w:p>
    <w:p w14:paraId="1FFE979A" w14:textId="560E300E" w:rsidR="00E23B8B" w:rsidRPr="00FA3777" w:rsidRDefault="00E23B8B" w:rsidP="009F1CD8">
      <w:pPr>
        <w:pStyle w:val="Akapitzlist"/>
        <w:numPr>
          <w:ilvl w:val="0"/>
          <w:numId w:val="16"/>
        </w:numPr>
        <w:jc w:val="both"/>
        <w:rPr>
          <w:rFonts w:ascii="Times New Roman" w:hAnsi="Times New Roman" w:cs="Times New Roman"/>
          <w:lang w:val="pl-PL"/>
        </w:rPr>
      </w:pPr>
      <w:r w:rsidRPr="00FA3777">
        <w:rPr>
          <w:rFonts w:ascii="Times New Roman" w:hAnsi="Times New Roman" w:cs="Times New Roman"/>
          <w:lang w:val="pl-PL"/>
        </w:rPr>
        <w:t>W trybie niniejszej procedury rozpatruje się zgłoszenia naruszeń prawa, polegające na działaniu lub zaniechaniu niezgodnym z prawem lub mającym na celu obejście prawa, obejmujące</w:t>
      </w:r>
      <w:r w:rsidR="007B107A" w:rsidRPr="00FA3777">
        <w:rPr>
          <w:rFonts w:ascii="Times New Roman" w:hAnsi="Times New Roman" w:cs="Times New Roman"/>
          <w:lang w:val="pl-PL"/>
        </w:rPr>
        <w:t xml:space="preserve"> działania </w:t>
      </w:r>
      <w:r w:rsidR="00445F62" w:rsidRPr="00FA3777">
        <w:rPr>
          <w:rFonts w:ascii="Times New Roman" w:hAnsi="Times New Roman" w:cs="Times New Roman"/>
          <w:lang w:val="pl-PL"/>
        </w:rPr>
        <w:t>wymienione w art.3 ustawy o ochronie sygnalistów, dotyczące:</w:t>
      </w:r>
    </w:p>
    <w:p w14:paraId="6D193502" w14:textId="65E0B597"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korupcji;</w:t>
      </w:r>
    </w:p>
    <w:p w14:paraId="7B1391AC" w14:textId="64C66E28"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zamówień publicznych;</w:t>
      </w:r>
    </w:p>
    <w:p w14:paraId="38C86EBE" w14:textId="2B7CECCB"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usług, produktów i rynków finansowych;</w:t>
      </w:r>
    </w:p>
    <w:p w14:paraId="7C4D4137" w14:textId="7294EFAD"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przeciwdziałania praniu pieniędzy oraz finansowaniu terroryzmu;</w:t>
      </w:r>
    </w:p>
    <w:p w14:paraId="3ACBE526" w14:textId="56BBA812"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bezpieczeństwa produktów i ich zgodności z wymogami;</w:t>
      </w:r>
    </w:p>
    <w:p w14:paraId="3B22BA8C" w14:textId="782BADDA"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bezpieczeństwa transportu;</w:t>
      </w:r>
    </w:p>
    <w:p w14:paraId="3E5B5B3C" w14:textId="3EB972F1"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ochrony środowiska;</w:t>
      </w:r>
    </w:p>
    <w:p w14:paraId="51C7E67C" w14:textId="6B7B4CDB"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ochrony radiologicznej i bezpieczeństwa jądrowego;</w:t>
      </w:r>
    </w:p>
    <w:p w14:paraId="7CE20D24" w14:textId="74406E6F"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bezpieczeństwa żywności i pasz;</w:t>
      </w:r>
    </w:p>
    <w:p w14:paraId="071F2614" w14:textId="66D98259"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zdrowia i dobrostanu zwierząt;</w:t>
      </w:r>
    </w:p>
    <w:p w14:paraId="51047474" w14:textId="416A6B12"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zdrowia publicznego;</w:t>
      </w:r>
    </w:p>
    <w:p w14:paraId="32F45FE8" w14:textId="2A9A6A1B"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ochrony konsumentów;</w:t>
      </w:r>
    </w:p>
    <w:p w14:paraId="641011FC" w14:textId="00E55C1D"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ochrony prywatności i danych osobowych;</w:t>
      </w:r>
    </w:p>
    <w:p w14:paraId="578ECE0E" w14:textId="7A0B70E4"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bezpieczeństwa sieci i systemów teleinformatycznych;</w:t>
      </w:r>
    </w:p>
    <w:p w14:paraId="1C83E34D" w14:textId="23F6C90D"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interesów finansowych Skarbu Państwa Rzeczypospolitej Polskiej, jednostki samorządu terytorialnego oraz Unii Europejskiej;</w:t>
      </w:r>
    </w:p>
    <w:p w14:paraId="0AB3D040" w14:textId="4D8BBE14" w:rsidR="007B107A" w:rsidRPr="00FA3777"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rynku wewnętrznego Unii Europejskiej, w tym publicznoprawnych zasad konkurencji i pomocy państwa oraz opodatkowania osób prawnych;</w:t>
      </w:r>
    </w:p>
    <w:p w14:paraId="2F48E178" w14:textId="0507F49D" w:rsidR="007B107A" w:rsidRPr="00C65E15" w:rsidRDefault="007B107A" w:rsidP="00445F62">
      <w:pPr>
        <w:pStyle w:val="pktpunkt0"/>
        <w:numPr>
          <w:ilvl w:val="0"/>
          <w:numId w:val="17"/>
        </w:numPr>
        <w:spacing w:before="0" w:beforeAutospacing="0" w:after="0" w:afterAutospacing="0" w:line="360" w:lineRule="atLeast"/>
        <w:jc w:val="both"/>
        <w:rPr>
          <w:color w:val="000000"/>
          <w:sz w:val="27"/>
          <w:szCs w:val="27"/>
        </w:rPr>
      </w:pPr>
      <w:r w:rsidRPr="00FA3777">
        <w:rPr>
          <w:color w:val="000000"/>
          <w:sz w:val="18"/>
          <w:szCs w:val="18"/>
        </w:rPr>
        <w:t>konstytucyjnych wolności i praw człowieka i obywatela – występujące w stosunkach jednostki z organami władzy publicznej i niezwiązane z dziedzinami wskazanymi w pkt 1–16.</w:t>
      </w:r>
    </w:p>
    <w:p w14:paraId="48D3B129" w14:textId="77777777" w:rsidR="007B107A" w:rsidRPr="00FA3777" w:rsidRDefault="007B107A" w:rsidP="007B107A">
      <w:pPr>
        <w:pStyle w:val="Akapitzlist"/>
        <w:jc w:val="both"/>
        <w:rPr>
          <w:rFonts w:ascii="Times New Roman" w:hAnsi="Times New Roman" w:cs="Times New Roman"/>
          <w:lang w:val="pl-PL"/>
        </w:rPr>
      </w:pPr>
    </w:p>
    <w:p w14:paraId="6C2021BB" w14:textId="77777777" w:rsidR="007B107A" w:rsidRPr="00FA3777" w:rsidRDefault="007B107A" w:rsidP="00E23B8B">
      <w:pPr>
        <w:jc w:val="both"/>
        <w:rPr>
          <w:rFonts w:ascii="Times New Roman" w:hAnsi="Times New Roman" w:cs="Times New Roman"/>
          <w:lang w:val="pl-PL"/>
        </w:rPr>
      </w:pPr>
    </w:p>
    <w:p w14:paraId="46C2209D" w14:textId="46BA1764"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Procedurę stosuje się do zgłoszeń dokonanych przez osoby fizyczne, które uzyskały informacje na temat naruszeń w kontekście związanym z pracą</w:t>
      </w:r>
      <w:r w:rsidR="009D34D8" w:rsidRPr="00FA3777">
        <w:rPr>
          <w:rFonts w:ascii="Times New Roman" w:hAnsi="Times New Roman" w:cs="Times New Roman"/>
          <w:lang w:val="pl-PL"/>
        </w:rPr>
        <w:t>. Sygnalistą jest osoba fizyczna, która zgłasza lub ujawnia publicznie informację o naruszeniu prawa uzyskaną w kontekście związanym z pracą, w tym:</w:t>
      </w:r>
    </w:p>
    <w:p w14:paraId="0280B83F" w14:textId="77777777" w:rsidR="009D34D8" w:rsidRPr="00FA3777" w:rsidRDefault="009D34D8" w:rsidP="009D34D8">
      <w:pPr>
        <w:jc w:val="both"/>
        <w:rPr>
          <w:rFonts w:ascii="Times New Roman" w:hAnsi="Times New Roman" w:cs="Times New Roman"/>
          <w:lang w:val="pl-PL"/>
        </w:rPr>
      </w:pPr>
      <w:r w:rsidRPr="00FA3777">
        <w:rPr>
          <w:rFonts w:ascii="Times New Roman" w:hAnsi="Times New Roman" w:cs="Times New Roman"/>
          <w:lang w:val="pl-PL"/>
        </w:rPr>
        <w:t>-pracownik;</w:t>
      </w:r>
    </w:p>
    <w:p w14:paraId="0D98E8FA" w14:textId="77777777" w:rsidR="009F1CD8" w:rsidRPr="00FA3777" w:rsidRDefault="009D34D8" w:rsidP="009D34D8">
      <w:pPr>
        <w:jc w:val="both"/>
        <w:rPr>
          <w:rFonts w:ascii="Times New Roman" w:hAnsi="Times New Roman" w:cs="Times New Roman"/>
          <w:lang w:val="pl-PL"/>
        </w:rPr>
      </w:pPr>
      <w:r w:rsidRPr="00FA3777">
        <w:rPr>
          <w:rFonts w:ascii="Times New Roman" w:hAnsi="Times New Roman" w:cs="Times New Roman"/>
          <w:lang w:val="pl-PL"/>
        </w:rPr>
        <w:t>-pracownik tymczasowy;</w:t>
      </w:r>
    </w:p>
    <w:p w14:paraId="3EADA44B" w14:textId="2631E085" w:rsidR="009D34D8" w:rsidRPr="00FA3777" w:rsidRDefault="009F1CD8" w:rsidP="009D34D8">
      <w:pPr>
        <w:jc w:val="both"/>
        <w:rPr>
          <w:rFonts w:ascii="Times New Roman" w:hAnsi="Times New Roman" w:cs="Times New Roman"/>
          <w:lang w:val="pl-PL"/>
        </w:rPr>
      </w:pPr>
      <w:r w:rsidRPr="00FA3777">
        <w:rPr>
          <w:rFonts w:ascii="Times New Roman" w:hAnsi="Times New Roman" w:cs="Times New Roman"/>
          <w:lang w:val="pl-PL"/>
        </w:rPr>
        <w:t>-</w:t>
      </w:r>
      <w:r w:rsidR="009D34D8" w:rsidRPr="00FA3777">
        <w:rPr>
          <w:rFonts w:ascii="Times New Roman" w:hAnsi="Times New Roman" w:cs="Times New Roman"/>
          <w:lang w:val="pl-PL"/>
        </w:rPr>
        <w:t>osoba świadcząca pracę na innej podstawie niż stosunek pracy, w tym na podstawie umowy cywilnoprawnej;</w:t>
      </w:r>
    </w:p>
    <w:p w14:paraId="4B7EB2D6" w14:textId="59DDB0FF" w:rsidR="009D34D8" w:rsidRPr="00FA3777" w:rsidRDefault="009F1CD8" w:rsidP="009D34D8">
      <w:pPr>
        <w:jc w:val="both"/>
        <w:rPr>
          <w:rFonts w:ascii="Times New Roman" w:hAnsi="Times New Roman" w:cs="Times New Roman"/>
          <w:lang w:val="pl-PL"/>
        </w:rPr>
      </w:pPr>
      <w:r w:rsidRPr="00FA3777">
        <w:rPr>
          <w:rFonts w:ascii="Times New Roman" w:hAnsi="Times New Roman" w:cs="Times New Roman"/>
          <w:lang w:val="pl-PL"/>
        </w:rPr>
        <w:t>-</w:t>
      </w:r>
      <w:r w:rsidR="009D34D8" w:rsidRPr="00FA3777">
        <w:rPr>
          <w:rFonts w:ascii="Times New Roman" w:hAnsi="Times New Roman" w:cs="Times New Roman"/>
          <w:lang w:val="pl-PL"/>
        </w:rPr>
        <w:t>osoba świadcząca pracę pod nadzorem i kierownictwem wykonawcy, podwykonawcy lub dostawcy;</w:t>
      </w:r>
    </w:p>
    <w:p w14:paraId="42379271" w14:textId="7F2B4BCA" w:rsidR="009D34D8" w:rsidRPr="00FA3777" w:rsidRDefault="009F1CD8" w:rsidP="009D34D8">
      <w:pPr>
        <w:jc w:val="both"/>
        <w:rPr>
          <w:rFonts w:ascii="Times New Roman" w:hAnsi="Times New Roman" w:cs="Times New Roman"/>
          <w:lang w:val="pl-PL"/>
        </w:rPr>
      </w:pPr>
      <w:r w:rsidRPr="00FA3777">
        <w:rPr>
          <w:rFonts w:ascii="Times New Roman" w:hAnsi="Times New Roman" w:cs="Times New Roman"/>
          <w:lang w:val="pl-PL"/>
        </w:rPr>
        <w:t>-s</w:t>
      </w:r>
      <w:r w:rsidR="009D34D8" w:rsidRPr="00FA3777">
        <w:rPr>
          <w:rFonts w:ascii="Times New Roman" w:hAnsi="Times New Roman" w:cs="Times New Roman"/>
          <w:lang w:val="pl-PL"/>
        </w:rPr>
        <w:t>tażysta;</w:t>
      </w:r>
    </w:p>
    <w:p w14:paraId="51225D43" w14:textId="5D5F37C7" w:rsidR="009D34D8" w:rsidRPr="00FA3777" w:rsidRDefault="009F1CD8" w:rsidP="009D34D8">
      <w:pPr>
        <w:jc w:val="both"/>
        <w:rPr>
          <w:rFonts w:ascii="Times New Roman" w:hAnsi="Times New Roman" w:cs="Times New Roman"/>
          <w:lang w:val="pl-PL"/>
        </w:rPr>
      </w:pPr>
      <w:r w:rsidRPr="00FA3777">
        <w:rPr>
          <w:rFonts w:ascii="Times New Roman" w:hAnsi="Times New Roman" w:cs="Times New Roman"/>
          <w:lang w:val="pl-PL"/>
        </w:rPr>
        <w:lastRenderedPageBreak/>
        <w:t>-</w:t>
      </w:r>
      <w:r w:rsidR="009D34D8" w:rsidRPr="00FA3777">
        <w:rPr>
          <w:rFonts w:ascii="Times New Roman" w:hAnsi="Times New Roman" w:cs="Times New Roman"/>
          <w:lang w:val="pl-PL"/>
        </w:rPr>
        <w:t>wolontariusz;</w:t>
      </w:r>
    </w:p>
    <w:p w14:paraId="6A81A944" w14:textId="47BDFAC7" w:rsidR="009D34D8" w:rsidRPr="00FA3777" w:rsidRDefault="009F1CD8" w:rsidP="00C65E15">
      <w:pPr>
        <w:jc w:val="both"/>
        <w:rPr>
          <w:rFonts w:ascii="Times New Roman" w:hAnsi="Times New Roman" w:cs="Times New Roman"/>
          <w:lang w:val="pl-PL"/>
        </w:rPr>
      </w:pPr>
      <w:r w:rsidRPr="00FA3777">
        <w:rPr>
          <w:rFonts w:ascii="Times New Roman" w:hAnsi="Times New Roman" w:cs="Times New Roman"/>
          <w:lang w:val="pl-PL"/>
        </w:rPr>
        <w:t>-</w:t>
      </w:r>
      <w:r w:rsidR="009D34D8" w:rsidRPr="00FA3777">
        <w:rPr>
          <w:rFonts w:ascii="Times New Roman" w:hAnsi="Times New Roman" w:cs="Times New Roman"/>
          <w:lang w:val="pl-PL"/>
        </w:rPr>
        <w:t>praktykant;</w:t>
      </w:r>
    </w:p>
    <w:p w14:paraId="1E006A58" w14:textId="4E930FBF" w:rsidR="00E23B8B" w:rsidRPr="00FA3777" w:rsidRDefault="009F1CD8" w:rsidP="009D34D8">
      <w:pPr>
        <w:jc w:val="both"/>
        <w:rPr>
          <w:rFonts w:ascii="Times New Roman" w:hAnsi="Times New Roman" w:cs="Times New Roman"/>
          <w:lang w:val="pl-PL"/>
        </w:rPr>
      </w:pPr>
      <w:r w:rsidRPr="00FA3777">
        <w:rPr>
          <w:rFonts w:ascii="Times New Roman" w:hAnsi="Times New Roman" w:cs="Times New Roman"/>
          <w:lang w:val="pl-PL"/>
        </w:rPr>
        <w:t>Regulamin</w:t>
      </w:r>
      <w:r w:rsidR="009D34D8" w:rsidRPr="00FA3777">
        <w:rPr>
          <w:rFonts w:ascii="Times New Roman" w:hAnsi="Times New Roman" w:cs="Times New Roman"/>
          <w:lang w:val="pl-PL"/>
        </w:rPr>
        <w:t xml:space="preserve">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4172CE0E" w14:textId="6045EF9C"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Procedurę stosuje się odpowiednio do zgłoszeń naruszeń pochodzących z</w:t>
      </w:r>
      <w:r w:rsidR="00445F62" w:rsidRPr="00FA3777">
        <w:rPr>
          <w:rFonts w:ascii="Times New Roman" w:hAnsi="Times New Roman" w:cs="Times New Roman"/>
          <w:lang w:val="pl-PL"/>
        </w:rPr>
        <w:t>e</w:t>
      </w:r>
      <w:r w:rsidRPr="00FA3777">
        <w:rPr>
          <w:rFonts w:ascii="Times New Roman" w:hAnsi="Times New Roman" w:cs="Times New Roman"/>
          <w:lang w:val="pl-PL"/>
        </w:rPr>
        <w:t xml:space="preserve"> źródeł </w:t>
      </w:r>
      <w:r w:rsidR="00445F62" w:rsidRPr="00FA3777">
        <w:rPr>
          <w:rFonts w:ascii="Times New Roman" w:hAnsi="Times New Roman" w:cs="Times New Roman"/>
          <w:lang w:val="pl-PL"/>
        </w:rPr>
        <w:t>wewnętrznych.</w:t>
      </w:r>
    </w:p>
    <w:p w14:paraId="7F3418B9" w14:textId="08B7ED8B"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Procedura </w:t>
      </w:r>
      <w:r w:rsidR="00954973" w:rsidRPr="00FA3777">
        <w:rPr>
          <w:rFonts w:ascii="Times New Roman" w:hAnsi="Times New Roman" w:cs="Times New Roman"/>
          <w:lang w:val="pl-PL"/>
        </w:rPr>
        <w:t>nie obejmuje</w:t>
      </w:r>
      <w:r w:rsidRPr="00FA3777">
        <w:rPr>
          <w:rFonts w:ascii="Times New Roman" w:hAnsi="Times New Roman" w:cs="Times New Roman"/>
          <w:lang w:val="pl-PL"/>
        </w:rPr>
        <w:t xml:space="preserve"> rozpatrywanie zgłoszeń </w:t>
      </w:r>
      <w:r w:rsidR="00541F83" w:rsidRPr="00FA3777">
        <w:rPr>
          <w:rFonts w:ascii="Times New Roman" w:hAnsi="Times New Roman" w:cs="Times New Roman"/>
          <w:lang w:val="pl-PL"/>
        </w:rPr>
        <w:t>nie</w:t>
      </w:r>
      <w:r w:rsidRPr="00FA3777">
        <w:rPr>
          <w:rFonts w:ascii="Times New Roman" w:hAnsi="Times New Roman" w:cs="Times New Roman"/>
          <w:lang w:val="pl-PL"/>
        </w:rPr>
        <w:t xml:space="preserve">podpisanych oraz zgłoszeń anonimowych. </w:t>
      </w:r>
    </w:p>
    <w:p w14:paraId="40D76815" w14:textId="77777777" w:rsidR="00E23B8B" w:rsidRPr="00FA3777" w:rsidRDefault="00E23B8B" w:rsidP="00E23B8B">
      <w:pPr>
        <w:jc w:val="both"/>
        <w:rPr>
          <w:rFonts w:ascii="Times New Roman" w:hAnsi="Times New Roman" w:cs="Times New Roman"/>
          <w:lang w:val="pl-PL"/>
        </w:rPr>
      </w:pPr>
    </w:p>
    <w:p w14:paraId="22C0CC57"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Sposoby przekazywania zgłoszeń</w:t>
      </w:r>
    </w:p>
    <w:p w14:paraId="596BEFDC" w14:textId="77777777" w:rsidR="00E23B8B" w:rsidRPr="00FA3777" w:rsidRDefault="00E23B8B" w:rsidP="00E23B8B">
      <w:pPr>
        <w:rPr>
          <w:rFonts w:ascii="Times New Roman" w:hAnsi="Times New Roman" w:cs="Times New Roman"/>
          <w:lang w:val="pl-PL"/>
        </w:rPr>
      </w:pPr>
      <w:r w:rsidRPr="00FA3777">
        <w:rPr>
          <w:rFonts w:ascii="Times New Roman" w:hAnsi="Times New Roman" w:cs="Times New Roman"/>
          <w:lang w:val="pl-PL"/>
        </w:rPr>
        <w:t xml:space="preserve">Zgłoszenia można przekazywać: </w:t>
      </w:r>
    </w:p>
    <w:p w14:paraId="67C2E47B" w14:textId="6DB74FBB" w:rsidR="007D7C9D" w:rsidRPr="00FA3777" w:rsidRDefault="007D7C9D" w:rsidP="007D7C9D">
      <w:pPr>
        <w:pStyle w:val="Akapitzlist"/>
        <w:numPr>
          <w:ilvl w:val="0"/>
          <w:numId w:val="15"/>
        </w:numPr>
        <w:rPr>
          <w:rFonts w:ascii="Times New Roman" w:hAnsi="Times New Roman" w:cs="Times New Roman"/>
          <w:lang w:val="pl-PL"/>
        </w:rPr>
      </w:pPr>
      <w:r w:rsidRPr="00FA3777">
        <w:rPr>
          <w:rFonts w:ascii="Times New Roman" w:hAnsi="Times New Roman" w:cs="Times New Roman"/>
          <w:lang w:val="pl-PL"/>
        </w:rPr>
        <w:t xml:space="preserve">pisemnie, przez bezpieczny system zgłoszeniowy dostępny na stronie internetowej </w:t>
      </w:r>
      <w:hyperlink r:id="rId7" w:anchor="/" w:history="1">
        <w:r w:rsidR="008F686A" w:rsidRPr="006828D0">
          <w:rPr>
            <w:rStyle w:val="Hipercze"/>
            <w:rFonts w:ascii="Times New Roman" w:hAnsi="Times New Roman" w:cs="Times New Roman"/>
            <w:lang w:val="pl-PL"/>
          </w:rPr>
          <w:t>https://guyhjkbihijuykbgt.anonimowysygnalista.pl/#/</w:t>
        </w:r>
      </w:hyperlink>
      <w:r w:rsidR="008F686A">
        <w:rPr>
          <w:rFonts w:ascii="Times New Roman" w:hAnsi="Times New Roman" w:cs="Times New Roman"/>
          <w:lang w:val="pl-PL"/>
        </w:rPr>
        <w:t xml:space="preserve"> </w:t>
      </w:r>
      <w:r w:rsidRPr="00FA3777">
        <w:rPr>
          <w:rFonts w:ascii="Times New Roman" w:hAnsi="Times New Roman" w:cs="Times New Roman"/>
          <w:lang w:val="pl-PL"/>
        </w:rPr>
        <w:t>i używając przycisku wyślij zgłoszenie</w:t>
      </w:r>
    </w:p>
    <w:p w14:paraId="5B119CEB" w14:textId="424C0C86" w:rsidR="00E23B8B" w:rsidRPr="00FA3777" w:rsidRDefault="00E23B8B" w:rsidP="00E23B8B">
      <w:pPr>
        <w:rPr>
          <w:rFonts w:ascii="Times New Roman" w:hAnsi="Times New Roman" w:cs="Times New Roman"/>
          <w:lang w:val="pl-PL"/>
        </w:rPr>
      </w:pPr>
      <w:r w:rsidRPr="00FA3777">
        <w:rPr>
          <w:rFonts w:ascii="Times New Roman" w:hAnsi="Times New Roman" w:cs="Times New Roman"/>
          <w:lang w:val="pl-PL"/>
        </w:rPr>
        <w:t>Zgłoszenia ww. kanał</w:t>
      </w:r>
      <w:r w:rsidR="00C17F5B" w:rsidRPr="00FA3777">
        <w:rPr>
          <w:rFonts w:ascii="Times New Roman" w:hAnsi="Times New Roman" w:cs="Times New Roman"/>
          <w:lang w:val="pl-PL"/>
        </w:rPr>
        <w:t>em</w:t>
      </w:r>
      <w:r w:rsidRPr="00FA3777">
        <w:rPr>
          <w:rFonts w:ascii="Times New Roman" w:hAnsi="Times New Roman" w:cs="Times New Roman"/>
          <w:lang w:val="pl-PL"/>
        </w:rPr>
        <w:t xml:space="preserve"> przyjmuje pełnomocnik lub osoby przez niego pisemnie upoważnione. </w:t>
      </w:r>
    </w:p>
    <w:p w14:paraId="4DBDCDD8" w14:textId="472E7B52" w:rsidR="00E23B8B" w:rsidRDefault="00E23B8B" w:rsidP="00E23B8B">
      <w:pPr>
        <w:rPr>
          <w:rFonts w:ascii="Times New Roman" w:hAnsi="Times New Roman" w:cs="Times New Roman"/>
          <w:lang w:val="pl-PL"/>
        </w:rPr>
      </w:pPr>
      <w:r w:rsidRPr="00FA3777">
        <w:rPr>
          <w:rFonts w:ascii="Times New Roman" w:hAnsi="Times New Roman" w:cs="Times New Roman"/>
          <w:lang w:val="pl-PL"/>
        </w:rPr>
        <w:t>Inne osoby, które wykonując czynności służbowe lub w innych okolicznościach zapoznały się ze zgłos</w:t>
      </w:r>
      <w:r w:rsidR="00FF63C5" w:rsidRPr="00FA3777">
        <w:rPr>
          <w:rFonts w:ascii="Times New Roman" w:hAnsi="Times New Roman" w:cs="Times New Roman"/>
          <w:lang w:val="pl-PL"/>
        </w:rPr>
        <w:t>zeniem sygnalisty, są zobowiąz</w:t>
      </w:r>
      <w:r w:rsidR="00FF63C5" w:rsidRPr="00AD5486">
        <w:rPr>
          <w:rFonts w:ascii="Times New Roman" w:hAnsi="Times New Roman" w:cs="Times New Roman"/>
          <w:color w:val="000000" w:themeColor="text1"/>
          <w:lang w:val="pl-PL"/>
        </w:rPr>
        <w:t>ane</w:t>
      </w:r>
      <w:r w:rsidRPr="00FA3777">
        <w:rPr>
          <w:rFonts w:ascii="Times New Roman" w:hAnsi="Times New Roman" w:cs="Times New Roman"/>
          <w:color w:val="FF0000"/>
          <w:lang w:val="pl-PL"/>
        </w:rPr>
        <w:t xml:space="preserve"> </w:t>
      </w:r>
      <w:r w:rsidRPr="00FA3777">
        <w:rPr>
          <w:rFonts w:ascii="Times New Roman" w:hAnsi="Times New Roman" w:cs="Times New Roman"/>
          <w:lang w:val="pl-PL"/>
        </w:rPr>
        <w:t xml:space="preserve">do zachowania poufności. </w:t>
      </w:r>
    </w:p>
    <w:p w14:paraId="058EB595"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 xml:space="preserve">Rejestr zgłoszeń </w:t>
      </w:r>
    </w:p>
    <w:p w14:paraId="6E63AAAB" w14:textId="413A7B36" w:rsidR="00E23B8B" w:rsidRPr="00FA3777" w:rsidRDefault="00E23B8B" w:rsidP="00DB45DB">
      <w:pPr>
        <w:jc w:val="both"/>
        <w:rPr>
          <w:rFonts w:ascii="Times New Roman" w:hAnsi="Times New Roman" w:cs="Times New Roman"/>
          <w:lang w:val="pl-PL"/>
        </w:rPr>
      </w:pPr>
      <w:r w:rsidRPr="00FA3777">
        <w:rPr>
          <w:rFonts w:ascii="Times New Roman" w:hAnsi="Times New Roman" w:cs="Times New Roman"/>
          <w:lang w:val="pl-PL"/>
        </w:rPr>
        <w:t xml:space="preserve">Rejestr zgłoszeń sygnalizacyjnych prowadzony jest w systemie informatycznym </w:t>
      </w:r>
      <w:r w:rsidR="00DB45DB" w:rsidRPr="00FA3777">
        <w:rPr>
          <w:rFonts w:ascii="Times New Roman" w:hAnsi="Times New Roman" w:cs="Times New Roman"/>
          <w:lang w:val="pl-PL"/>
        </w:rPr>
        <w:t xml:space="preserve">www.anonimowysygnalista.pl. </w:t>
      </w:r>
    </w:p>
    <w:p w14:paraId="4659CD4D" w14:textId="7DDFB6C5" w:rsidR="00E23B8B" w:rsidRPr="00FA3777" w:rsidRDefault="00E23B8B" w:rsidP="00DB45DB">
      <w:pPr>
        <w:jc w:val="both"/>
        <w:rPr>
          <w:rFonts w:ascii="Times New Roman" w:hAnsi="Times New Roman" w:cs="Times New Roman"/>
          <w:i/>
          <w:iCs/>
          <w:lang w:val="pl-PL"/>
        </w:rPr>
      </w:pPr>
      <w:r w:rsidRPr="00FA3777">
        <w:rPr>
          <w:rFonts w:ascii="Times New Roman" w:hAnsi="Times New Roman" w:cs="Times New Roman"/>
          <w:lang w:val="pl-PL"/>
        </w:rPr>
        <w:t xml:space="preserve">Rejestr prowadzi się w sposób zapewniający integralność i ochronę danych, w tym poufność danych sygnalisty i osób, których dotyczy zgłoszenie. </w:t>
      </w:r>
    </w:p>
    <w:p w14:paraId="7E25E4AD"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Dostęp do rejestru posiadają: </w:t>
      </w:r>
    </w:p>
    <w:p w14:paraId="0EC2C71F" w14:textId="77777777" w:rsidR="00E23B8B" w:rsidRPr="00FA3777" w:rsidRDefault="00E23B8B" w:rsidP="00E23B8B">
      <w:pPr>
        <w:pStyle w:val="Akapitzlist"/>
        <w:numPr>
          <w:ilvl w:val="0"/>
          <w:numId w:val="2"/>
        </w:numPr>
        <w:jc w:val="both"/>
        <w:rPr>
          <w:rFonts w:ascii="Times New Roman" w:hAnsi="Times New Roman" w:cs="Times New Roman"/>
          <w:lang w:val="pl-PL"/>
        </w:rPr>
      </w:pPr>
      <w:r w:rsidRPr="00FA3777">
        <w:rPr>
          <w:rFonts w:ascii="Times New Roman" w:hAnsi="Times New Roman" w:cs="Times New Roman"/>
          <w:lang w:val="pl-PL"/>
        </w:rPr>
        <w:t>pełnomocnik,</w:t>
      </w:r>
    </w:p>
    <w:p w14:paraId="633F3A39" w14:textId="70AAF46A" w:rsidR="00E23B8B" w:rsidRPr="00FA3777" w:rsidRDefault="00E23B8B" w:rsidP="00E23B8B">
      <w:pPr>
        <w:pStyle w:val="Akapitzlist"/>
        <w:numPr>
          <w:ilvl w:val="0"/>
          <w:numId w:val="2"/>
        </w:numPr>
        <w:jc w:val="both"/>
        <w:rPr>
          <w:rFonts w:ascii="Times New Roman" w:hAnsi="Times New Roman" w:cs="Times New Roman"/>
          <w:lang w:val="pl-PL"/>
        </w:rPr>
      </w:pPr>
      <w:r w:rsidRPr="00FA3777">
        <w:rPr>
          <w:rFonts w:ascii="Times New Roman" w:hAnsi="Times New Roman" w:cs="Times New Roman"/>
          <w:lang w:val="pl-PL"/>
        </w:rPr>
        <w:t>pozostali uczestnicy procesu – w zakresie niezbędnym dla realizo</w:t>
      </w:r>
      <w:r w:rsidRPr="00AD5486">
        <w:rPr>
          <w:rFonts w:ascii="Times New Roman" w:hAnsi="Times New Roman" w:cs="Times New Roman"/>
          <w:color w:val="000000" w:themeColor="text1"/>
          <w:lang w:val="pl-PL"/>
        </w:rPr>
        <w:t>wan</w:t>
      </w:r>
      <w:r w:rsidR="00FF63C5" w:rsidRPr="00AD5486">
        <w:rPr>
          <w:rFonts w:ascii="Times New Roman" w:hAnsi="Times New Roman" w:cs="Times New Roman"/>
          <w:color w:val="000000" w:themeColor="text1"/>
          <w:lang w:val="pl-PL"/>
        </w:rPr>
        <w:t>i</w:t>
      </w:r>
      <w:r w:rsidRPr="00AD5486">
        <w:rPr>
          <w:rFonts w:ascii="Times New Roman" w:hAnsi="Times New Roman" w:cs="Times New Roman"/>
          <w:color w:val="000000" w:themeColor="text1"/>
          <w:lang w:val="pl-PL"/>
        </w:rPr>
        <w:t>a</w:t>
      </w:r>
      <w:r w:rsidRPr="00FA3777">
        <w:rPr>
          <w:rFonts w:ascii="Times New Roman" w:hAnsi="Times New Roman" w:cs="Times New Roman"/>
          <w:lang w:val="pl-PL"/>
        </w:rPr>
        <w:t xml:space="preserve"> wyznaczonych zadań. </w:t>
      </w:r>
    </w:p>
    <w:p w14:paraId="0BA98948" w14:textId="78ADBE9E"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Upoważnienia dostępu do całości lub części rejestru zgłoszeń udziela pełnomocnik</w:t>
      </w:r>
      <w:r w:rsidR="001B411C" w:rsidRPr="00FA3777">
        <w:rPr>
          <w:rFonts w:ascii="Times New Roman" w:hAnsi="Times New Roman" w:cs="Times New Roman"/>
          <w:lang w:val="pl-PL"/>
        </w:rPr>
        <w:t xml:space="preserve"> lub dyrektor.</w:t>
      </w:r>
    </w:p>
    <w:p w14:paraId="02044A34"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Pełnomocnik lub osoba upoważniona rejestruje w rejestrze także dalsze czynności następcze podejmowane w ramach niniejszej procedury.</w:t>
      </w:r>
    </w:p>
    <w:p w14:paraId="799F6575"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Ochrona tożsamości sygnalisty</w:t>
      </w:r>
    </w:p>
    <w:p w14:paraId="26FA64D3"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Tożsamość znana jest tylko pełnomocnikom ds. obsługi zgłoszeń. W trakcie rejestracji zgłoszeń i działań następczych należy chronić tożsamość sygnalisty. Dlatego:</w:t>
      </w:r>
    </w:p>
    <w:p w14:paraId="6EFAB902" w14:textId="5E4A7ECE" w:rsidR="00FA3777" w:rsidRPr="00FA3777" w:rsidRDefault="00FA3777" w:rsidP="00FA3777">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tożsamość sygnalisty powinna znać jak najmniejsza liczba osób;</w:t>
      </w:r>
    </w:p>
    <w:p w14:paraId="23987112" w14:textId="77777777" w:rsidR="00FA3777" w:rsidRPr="00FA3777" w:rsidRDefault="00FA3777" w:rsidP="00FA3777">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członkowie i eksperci zespołu przeprowadzającego postępowanie wyjaśniające mogą zostać o niej poinformowani jedynie, jeżeli ma to znaczenie dla skuteczności postępowania wyjaśniającego, </w:t>
      </w:r>
    </w:p>
    <w:p w14:paraId="2A36963C" w14:textId="77777777" w:rsidR="00FA3777" w:rsidRPr="00FA3777" w:rsidRDefault="00FA3777" w:rsidP="00FA3777">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lastRenderedPageBreak/>
        <w:t xml:space="preserve">kierownik jednostki i właściwi dyrektorzy komórek organizacyjnych mogą zostać o niej poinformowani jedynie, jeżeli jest to niezbędne dla przeciwdziałania działaniom odwetowym wobec sygnalisty, </w:t>
      </w:r>
    </w:p>
    <w:p w14:paraId="0B2E3558" w14:textId="77777777" w:rsidR="00FA3777" w:rsidRPr="00FA3777" w:rsidRDefault="00FA3777" w:rsidP="00FA3777">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zgłoszenie sygnalizacyjne (także anonimowe) nie jest udostępniane osobom, niebędącym członkami lub ekspertami zespołu przeprowadzającego postępowanie wyjaśniające, </w:t>
      </w:r>
    </w:p>
    <w:p w14:paraId="06C137A1" w14:textId="77777777" w:rsidR="00FA3777" w:rsidRPr="00FA3777" w:rsidRDefault="00FA3777" w:rsidP="00FA3777">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sposób prowadzenia czynności powinien chronić tożsamości sygnalisty.  </w:t>
      </w:r>
    </w:p>
    <w:p w14:paraId="3D7FD9FB"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Tożsamość sygnalisty może zostać ujawniona właściwym organom państwowym na ich żądanie oparte w przepisach prawa. Przykładowo, w przypadku zgłoszenia zawiadomienia do organów ścigania o uzasadnionym podejrzeniu popełnienia przestępstwa tożsamość sygnalisty może zostać ujawniona śledczym. </w:t>
      </w:r>
    </w:p>
    <w:p w14:paraId="6CDA3864"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Ujawnienie tożsamości sygnalisty w innych przypadkach lub innym osobom jest możliwe jedynie za jego wyraźną, udokumentowaną zgodą. </w:t>
      </w:r>
    </w:p>
    <w:p w14:paraId="0AB235BD"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Powyższe zasady odnoszą się także do osób pomagających dokonać zgłoszenia, jeżeli ich tożsamość jest znana osobom przyjmującym zgłoszenie. </w:t>
      </w:r>
    </w:p>
    <w:p w14:paraId="71C44C3A"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Wobec sygnalisty nie mogą być podejmowane żadne działania odwetowe ani próby lub groźby zastosowania takich działań.</w:t>
      </w:r>
    </w:p>
    <w:p w14:paraId="12AD5298"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Do zakazanych działań odwetowych należą w szczególności:</w:t>
      </w:r>
    </w:p>
    <w:p w14:paraId="1E465EEC"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1) odmowa nawiązania stosunku pracy;</w:t>
      </w:r>
    </w:p>
    <w:p w14:paraId="0CB44513"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2) wypowiedzenie lub rozwiązanie bez wypowiedzenia stosunku pracy;</w:t>
      </w:r>
    </w:p>
    <w:p w14:paraId="7ACAAC5C"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3) </w:t>
      </w:r>
      <w:proofErr w:type="spellStart"/>
      <w:r w:rsidRPr="00FA3777">
        <w:rPr>
          <w:rFonts w:ascii="Times New Roman" w:hAnsi="Times New Roman" w:cs="Times New Roman"/>
          <w:lang w:val="pl-PL"/>
        </w:rPr>
        <w:t>niezawarcie</w:t>
      </w:r>
      <w:proofErr w:type="spellEnd"/>
      <w:r w:rsidRPr="00FA3777">
        <w:rPr>
          <w:rFonts w:ascii="Times New Roman" w:hAnsi="Times New Roman" w:cs="Times New Roman"/>
          <w:lang w:val="pl-PL"/>
        </w:rPr>
        <w:t xml:space="preserve"> umowy o pracę na czas określony lub umowy o pracę na czas nieokreślony po rozwiązaniu umowy o pracę na okres próbny; </w:t>
      </w:r>
    </w:p>
    <w:p w14:paraId="4C434A0B"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4) </w:t>
      </w:r>
      <w:proofErr w:type="spellStart"/>
      <w:r w:rsidRPr="00FA3777">
        <w:rPr>
          <w:rFonts w:ascii="Times New Roman" w:hAnsi="Times New Roman" w:cs="Times New Roman"/>
          <w:lang w:val="pl-PL"/>
        </w:rPr>
        <w:t>niezawarcie</w:t>
      </w:r>
      <w:proofErr w:type="spellEnd"/>
      <w:r w:rsidRPr="00FA3777">
        <w:rPr>
          <w:rFonts w:ascii="Times New Roman" w:hAnsi="Times New Roman" w:cs="Times New Roman"/>
          <w:lang w:val="pl-PL"/>
        </w:rPr>
        <w:t xml:space="preserve"> kolejnej umowy o pracę na czas określony;</w:t>
      </w:r>
    </w:p>
    <w:p w14:paraId="4C7C752B"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5) </w:t>
      </w:r>
      <w:proofErr w:type="spellStart"/>
      <w:r w:rsidRPr="00FA3777">
        <w:rPr>
          <w:rFonts w:ascii="Times New Roman" w:hAnsi="Times New Roman" w:cs="Times New Roman"/>
          <w:lang w:val="pl-PL"/>
        </w:rPr>
        <w:t>niezawarcie</w:t>
      </w:r>
      <w:proofErr w:type="spellEnd"/>
      <w:r w:rsidRPr="00FA3777">
        <w:rPr>
          <w:rFonts w:ascii="Times New Roman" w:hAnsi="Times New Roman" w:cs="Times New Roman"/>
          <w:lang w:val="pl-PL"/>
        </w:rPr>
        <w:t xml:space="preserve"> umowy o pracę na czas nieokreślony po rozwiązaniu umowy o pracę na czas określony – w </w:t>
      </w:r>
      <w:proofErr w:type="gramStart"/>
      <w:r w:rsidRPr="00FA3777">
        <w:rPr>
          <w:rFonts w:ascii="Times New Roman" w:hAnsi="Times New Roman" w:cs="Times New Roman"/>
          <w:lang w:val="pl-PL"/>
        </w:rPr>
        <w:t>przypadku</w:t>
      </w:r>
      <w:proofErr w:type="gramEnd"/>
      <w:r w:rsidRPr="00FA3777">
        <w:rPr>
          <w:rFonts w:ascii="Times New Roman" w:hAnsi="Times New Roman" w:cs="Times New Roman"/>
          <w:lang w:val="pl-PL"/>
        </w:rPr>
        <w:t xml:space="preserve"> gdy sygnalista miał uzasadnione oczekiwanie, że zostanie z nim zawarta taka umowa;</w:t>
      </w:r>
    </w:p>
    <w:p w14:paraId="5DA7BF0C"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6) obniżenie wysokości wynagrodzenia za pracę;</w:t>
      </w:r>
    </w:p>
    <w:p w14:paraId="075913B1"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7) wstrzymanie awansu albo pominięcie przy awansowaniu;</w:t>
      </w:r>
    </w:p>
    <w:p w14:paraId="7F552917"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8) pominięcie przy przyznawaniu innych niż wynagrodzenie świadczeń związanych z pracą lub obniżenie wysokości tych świadczeń;</w:t>
      </w:r>
    </w:p>
    <w:p w14:paraId="0116559D"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9) przeniesienie na niższe stanowisko pracy;</w:t>
      </w:r>
    </w:p>
    <w:p w14:paraId="50DF1E0F"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10) zawieszenie w wykonywaniu obowiązków pracowniczych lub służbowych;</w:t>
      </w:r>
    </w:p>
    <w:p w14:paraId="1A90FDDE"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11) przekazanie innemu pracownikowi dotychczasowych obowiązków sygnalisty;</w:t>
      </w:r>
    </w:p>
    <w:p w14:paraId="4767F97A"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12) niekorzystna zmiana miejsca wykonywania pracy lub rozkładu czasu pracy;</w:t>
      </w:r>
    </w:p>
    <w:p w14:paraId="7ADA9043"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13) negatywna ocena wyników pracy lub negatywna opinia o pracy;</w:t>
      </w:r>
    </w:p>
    <w:p w14:paraId="2DDD5D77"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14) nałożenie lub zastosowanie środka dyscyplinarnego, w tym kary finansowej, lub środka o podobnym charakterze;</w:t>
      </w:r>
    </w:p>
    <w:p w14:paraId="20577320"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15) przymus, zastraszanie lub wykluczenie; </w:t>
      </w:r>
    </w:p>
    <w:p w14:paraId="55E864BF"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16) </w:t>
      </w:r>
      <w:proofErr w:type="spellStart"/>
      <w:r w:rsidRPr="00FA3777">
        <w:rPr>
          <w:rFonts w:ascii="Times New Roman" w:hAnsi="Times New Roman" w:cs="Times New Roman"/>
          <w:lang w:val="pl-PL"/>
        </w:rPr>
        <w:t>mobbing</w:t>
      </w:r>
      <w:proofErr w:type="spellEnd"/>
      <w:r w:rsidRPr="00FA3777">
        <w:rPr>
          <w:rFonts w:ascii="Times New Roman" w:hAnsi="Times New Roman" w:cs="Times New Roman"/>
          <w:lang w:val="pl-PL"/>
        </w:rPr>
        <w:t xml:space="preserve">; </w:t>
      </w:r>
    </w:p>
    <w:p w14:paraId="4F6DD039"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17) dyskryminacja; </w:t>
      </w:r>
    </w:p>
    <w:p w14:paraId="42D9F692"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lastRenderedPageBreak/>
        <w:t xml:space="preserve">18) niekorzystne lub niesprawiedliwe traktowanie; </w:t>
      </w:r>
    </w:p>
    <w:p w14:paraId="3ED50D0A"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19) wstrzymanie udziału lub pominięcie przy typowaniu do udziału w szkoleniach podnoszących kwalifikacje zawodowe; </w:t>
      </w:r>
    </w:p>
    <w:p w14:paraId="0E6215D9"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20) nieuzasadnione skierowanie na badania lekarskie, w tym badania psychiatryczne; </w:t>
      </w:r>
    </w:p>
    <w:p w14:paraId="63ECD7CF"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21) działanie zmierzające do utrudnienia znalezienia w przyszłości pracy w danym sektorze lub w danej branży na podstawie nieformalnego lub formalnego porozumienia sektorowego lub branżowego;</w:t>
      </w:r>
    </w:p>
    <w:p w14:paraId="101FFFF6"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22) spowodowanie straty finansowej, w tym </w:t>
      </w:r>
      <w:proofErr w:type="gramStart"/>
      <w:r w:rsidRPr="00FA3777">
        <w:rPr>
          <w:rFonts w:ascii="Times New Roman" w:hAnsi="Times New Roman" w:cs="Times New Roman"/>
          <w:lang w:val="pl-PL"/>
        </w:rPr>
        <w:t>gospodarczej,</w:t>
      </w:r>
      <w:proofErr w:type="gramEnd"/>
      <w:r w:rsidRPr="00FA3777">
        <w:rPr>
          <w:rFonts w:ascii="Times New Roman" w:hAnsi="Times New Roman" w:cs="Times New Roman"/>
          <w:lang w:val="pl-PL"/>
        </w:rPr>
        <w:t xml:space="preserve"> lub utraty dochodu;</w:t>
      </w:r>
    </w:p>
    <w:p w14:paraId="36AB3917"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23) wyrządzenie innej szkody niematerialnej, w tym naruszenie dóbr osobistych, w szczególności dobrego imienia sygnalisty.</w:t>
      </w:r>
    </w:p>
    <w:p w14:paraId="61B9EE16"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 xml:space="preserve">Do zakazanych działań odwetowych należy także wypowiedzenie umowy, której stroną jest sygnalista, w szczególności dotyczącej sprzedaży lub dostawy towarów lub świadczenia usług, odstąpienie od takiej umowy lub rozwiązanie jej bez wypowiedzenia. </w:t>
      </w:r>
    </w:p>
    <w:p w14:paraId="34EFADD1"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Zakaz działań odwetowych obejmuje także osobę pomagającą w dokonaniu zgłoszenia, osobę powiązaną ze zgłaszającym, a także osobę prawną lub inną jednostkę organizacyjną pomagającą sygnaliście lub z nim powiązaną, w szczególności stanowiącą własność sygnalisty lub go zatrudniającą.</w:t>
      </w:r>
    </w:p>
    <w:p w14:paraId="69EBED03" w14:textId="77777777" w:rsidR="00FA3777" w:rsidRPr="00FA3777" w:rsidRDefault="00FA3777" w:rsidP="00FA3777">
      <w:pPr>
        <w:jc w:val="both"/>
        <w:rPr>
          <w:rFonts w:ascii="Times New Roman" w:hAnsi="Times New Roman" w:cs="Times New Roman"/>
          <w:lang w:val="pl-PL"/>
        </w:rPr>
      </w:pPr>
      <w:r w:rsidRPr="00FA3777">
        <w:rPr>
          <w:rFonts w:ascii="Times New Roman" w:hAnsi="Times New Roman" w:cs="Times New Roman"/>
          <w:lang w:val="pl-PL"/>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14:paraId="40CA5402" w14:textId="77777777" w:rsidR="00FA3777" w:rsidRPr="00FA3777" w:rsidRDefault="00FA3777" w:rsidP="00FA3777">
      <w:pPr>
        <w:rPr>
          <w:rFonts w:ascii="Times New Roman" w:hAnsi="Times New Roman" w:cs="Times New Roman"/>
          <w:lang w:val="pl-PL"/>
        </w:rPr>
      </w:pPr>
    </w:p>
    <w:p w14:paraId="0980FF4C"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Ochrona osób, których dotyczy zgłoszenie</w:t>
      </w:r>
    </w:p>
    <w:p w14:paraId="34CEAE06" w14:textId="344F844C"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Zgłoszenie sygnalizacyjne może dotyczyć konkretnej osoby (osób) lub osób nieustalonych co do tożsamości. Podejrzenia </w:t>
      </w:r>
      <w:r w:rsidR="00DB45DB" w:rsidRPr="00FA3777">
        <w:rPr>
          <w:rFonts w:ascii="Times New Roman" w:hAnsi="Times New Roman" w:cs="Times New Roman"/>
          <w:lang w:val="pl-PL"/>
        </w:rPr>
        <w:t>odnośnie do</w:t>
      </w:r>
      <w:r w:rsidRPr="00FA3777">
        <w:rPr>
          <w:rFonts w:ascii="Times New Roman" w:hAnsi="Times New Roman" w:cs="Times New Roman"/>
          <w:lang w:val="pl-PL"/>
        </w:rPr>
        <w:t xml:space="preserve"> naruszeń mogą pojawić się także w trakcie czynności wyjaśniających. </w:t>
      </w:r>
    </w:p>
    <w:p w14:paraId="77F6E47B" w14:textId="36A14DD9"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Osoba, której dotyczy zgłoszenie</w:t>
      </w:r>
      <w:r w:rsidR="00FF63C5" w:rsidRPr="00FA3777">
        <w:rPr>
          <w:rFonts w:ascii="Times New Roman" w:hAnsi="Times New Roman" w:cs="Times New Roman"/>
          <w:lang w:val="pl-PL"/>
        </w:rPr>
        <w:t>,</w:t>
      </w:r>
      <w:r w:rsidRPr="00FA3777">
        <w:rPr>
          <w:rFonts w:ascii="Times New Roman" w:hAnsi="Times New Roman" w:cs="Times New Roman"/>
          <w:lang w:val="pl-PL"/>
        </w:rPr>
        <w:t xml:space="preserve"> ma prawo do ochrony swojego dobrego imienia oraz tożsamości przez cały okres czynności wyjaśniających, a jeżeli zarzuty się nie potwierdzą – także po jego zakończeniu. </w:t>
      </w:r>
    </w:p>
    <w:p w14:paraId="55A84DC0"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związku z powyższym: </w:t>
      </w:r>
    </w:p>
    <w:p w14:paraId="34BB9D63" w14:textId="590290FD" w:rsidR="00E23B8B" w:rsidRPr="00FA3777" w:rsidRDefault="00E23B8B" w:rsidP="00E23B8B">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tożsamość osoby, której dotyczy zgłoszenie powinna znać jak najmniejsza liczba osób, </w:t>
      </w:r>
    </w:p>
    <w:p w14:paraId="1C91A241" w14:textId="77777777" w:rsidR="00E23B8B" w:rsidRPr="00FA3777" w:rsidRDefault="00E23B8B" w:rsidP="00E23B8B">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w przypadkach uzasadnionych ochroną interesu jednostki lub skutecznością postępowania wyjaśniającego ich tożsamość może być ujawniona kierownikowi jednostki, przełożonym tej osoby, ekspertom zespołu przeprowadzającego postępowanie wyjaśniające i innym niezbędnym pracownikom jednostki   </w:t>
      </w:r>
    </w:p>
    <w:p w14:paraId="1A0A4F70" w14:textId="77777777" w:rsidR="00E23B8B" w:rsidRPr="00FA3777" w:rsidRDefault="00E23B8B" w:rsidP="00E23B8B">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materiały z czynności wyjaśniających nie są udostępniane osobom </w:t>
      </w:r>
      <w:proofErr w:type="gramStart"/>
      <w:r w:rsidRPr="00FA3777">
        <w:rPr>
          <w:rFonts w:ascii="Times New Roman" w:hAnsi="Times New Roman" w:cs="Times New Roman"/>
          <w:lang w:val="pl-PL"/>
        </w:rPr>
        <w:t>nie będącym</w:t>
      </w:r>
      <w:proofErr w:type="gramEnd"/>
      <w:r w:rsidRPr="00FA3777">
        <w:rPr>
          <w:rFonts w:ascii="Times New Roman" w:hAnsi="Times New Roman" w:cs="Times New Roman"/>
          <w:lang w:val="pl-PL"/>
        </w:rPr>
        <w:t xml:space="preserve"> członkami lub ekspertami zespołu przeprowadzającego postępowanie wyjaśniające, do czasu jego zakończenia, </w:t>
      </w:r>
    </w:p>
    <w:p w14:paraId="18963B87" w14:textId="77777777" w:rsidR="00E23B8B" w:rsidRPr="00FA3777" w:rsidRDefault="00E23B8B" w:rsidP="00E23B8B">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jeżeli nie występuje konieczność natychmiastowego działania - sposób prowadzenia czynności, w szczególności odbierania wyjaśnień od tej osoby, powinien chronić jej tożsamość i dobre imię, </w:t>
      </w:r>
    </w:p>
    <w:p w14:paraId="56767A97" w14:textId="77777777" w:rsidR="00E23B8B" w:rsidRPr="00FA3777" w:rsidRDefault="00E23B8B" w:rsidP="00E23B8B">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osoba ta ma prawo wypowiedzieć się na temat zebranych dowodów i przedstawić własne, </w:t>
      </w:r>
    </w:p>
    <w:p w14:paraId="1A49D6D0" w14:textId="77777777" w:rsidR="00E23B8B" w:rsidRPr="00FA3777" w:rsidRDefault="00E23B8B" w:rsidP="00E23B8B">
      <w:pPr>
        <w:pStyle w:val="Akapitzlist"/>
        <w:numPr>
          <w:ilvl w:val="0"/>
          <w:numId w:val="7"/>
        </w:numPr>
        <w:jc w:val="both"/>
        <w:rPr>
          <w:rFonts w:ascii="Times New Roman" w:hAnsi="Times New Roman" w:cs="Times New Roman"/>
          <w:lang w:val="pl-PL"/>
        </w:rPr>
      </w:pPr>
      <w:r w:rsidRPr="00FA3777">
        <w:rPr>
          <w:rFonts w:ascii="Times New Roman" w:hAnsi="Times New Roman" w:cs="Times New Roman"/>
          <w:lang w:val="pl-PL"/>
        </w:rPr>
        <w:t xml:space="preserve">korzystając z prawa do obrony osoba ta ma prawo skorzystać z pomocy prawnej. </w:t>
      </w:r>
    </w:p>
    <w:p w14:paraId="1DC2A8E1"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lastRenderedPageBreak/>
        <w:t>Powyższe zasady stosują się odpowiednio do osób, które nie zostały wymienione w zgłoszeniu, ale w stosunku do których nasunęły się podejrzenia naruszeń w trakcie dalszych czynności.</w:t>
      </w:r>
    </w:p>
    <w:p w14:paraId="4FD585DF"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Ocena właściwości zgłoszenia</w:t>
      </w:r>
    </w:p>
    <w:p w14:paraId="4D7D9673" w14:textId="4AEDEF65"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Po wpłynięciu zgłoszenia pełnomocnik lub osoba przez niego upoważniona </w:t>
      </w:r>
      <w:proofErr w:type="gramStart"/>
      <w:r w:rsidRPr="00FA3777">
        <w:rPr>
          <w:rFonts w:ascii="Times New Roman" w:hAnsi="Times New Roman" w:cs="Times New Roman"/>
          <w:lang w:val="pl-PL"/>
        </w:rPr>
        <w:t>sprawdza</w:t>
      </w:r>
      <w:r w:rsidR="00FF63C5" w:rsidRPr="00FA3777">
        <w:rPr>
          <w:rFonts w:ascii="Times New Roman" w:hAnsi="Times New Roman" w:cs="Times New Roman"/>
          <w:lang w:val="pl-PL"/>
        </w:rPr>
        <w:t>,</w:t>
      </w:r>
      <w:proofErr w:type="gramEnd"/>
      <w:r w:rsidRPr="00FA3777">
        <w:rPr>
          <w:rFonts w:ascii="Times New Roman" w:hAnsi="Times New Roman" w:cs="Times New Roman"/>
          <w:lang w:val="pl-PL"/>
        </w:rPr>
        <w:t xml:space="preserve"> czy podlega ono rozpatrzeniu w ramach niniejszej procedury. </w:t>
      </w:r>
    </w:p>
    <w:p w14:paraId="66019CD5" w14:textId="1782522D"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Jeżeli podlega ono rozpatrzeniu w ramach innej procedury (np. </w:t>
      </w:r>
      <w:proofErr w:type="spellStart"/>
      <w:r w:rsidRPr="00FA3777">
        <w:rPr>
          <w:rFonts w:ascii="Times New Roman" w:hAnsi="Times New Roman" w:cs="Times New Roman"/>
          <w:lang w:val="pl-PL"/>
        </w:rPr>
        <w:t>antymobbingowej</w:t>
      </w:r>
      <w:proofErr w:type="spellEnd"/>
      <w:r w:rsidRPr="00FA3777">
        <w:rPr>
          <w:rFonts w:ascii="Times New Roman" w:hAnsi="Times New Roman" w:cs="Times New Roman"/>
          <w:lang w:val="pl-PL"/>
        </w:rPr>
        <w:t xml:space="preserve">, skargowej, </w:t>
      </w:r>
      <w:proofErr w:type="spellStart"/>
      <w:r w:rsidRPr="00FA3777">
        <w:rPr>
          <w:rFonts w:ascii="Times New Roman" w:hAnsi="Times New Roman" w:cs="Times New Roman"/>
          <w:lang w:val="pl-PL"/>
        </w:rPr>
        <w:t>odwołaniowej</w:t>
      </w:r>
      <w:proofErr w:type="spellEnd"/>
      <w:r w:rsidRPr="00FA3777">
        <w:rPr>
          <w:rFonts w:ascii="Times New Roman" w:hAnsi="Times New Roman" w:cs="Times New Roman"/>
          <w:lang w:val="pl-PL"/>
        </w:rPr>
        <w:t>)</w:t>
      </w:r>
      <w:r w:rsidR="00FF63C5" w:rsidRPr="00FA3777">
        <w:rPr>
          <w:rFonts w:ascii="Times New Roman" w:hAnsi="Times New Roman" w:cs="Times New Roman"/>
          <w:lang w:val="pl-PL"/>
        </w:rPr>
        <w:t>, przekazuje się je wg</w:t>
      </w:r>
      <w:r w:rsidRPr="00FA3777">
        <w:rPr>
          <w:rFonts w:ascii="Times New Roman" w:hAnsi="Times New Roman" w:cs="Times New Roman"/>
          <w:lang w:val="pl-PL"/>
        </w:rPr>
        <w:t xml:space="preserve"> właściwości. </w:t>
      </w:r>
    </w:p>
    <w:p w14:paraId="66EA7629" w14:textId="11AD06FA"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przypadku, gdyby zgłoszenie dotyczyło naruszeń występujących przy realizacji niniejszej procedury lub popełnionych przez pełnomocnika – pełnomocnik przekazuje je do kierownika jednostki, który podejmuje decyzję </w:t>
      </w:r>
      <w:r w:rsidR="00C25996" w:rsidRPr="00FA3777">
        <w:rPr>
          <w:rFonts w:ascii="Times New Roman" w:hAnsi="Times New Roman" w:cs="Times New Roman"/>
          <w:lang w:val="pl-PL"/>
        </w:rPr>
        <w:t>odnośnie do</w:t>
      </w:r>
      <w:r w:rsidRPr="00FA3777">
        <w:rPr>
          <w:rFonts w:ascii="Times New Roman" w:hAnsi="Times New Roman" w:cs="Times New Roman"/>
          <w:lang w:val="pl-PL"/>
        </w:rPr>
        <w:t xml:space="preserve"> dalszego trybu postępowania. Zgłoszenie takie może podlegać wyjaśnieniu w trybie innej procedury lub w trybie niniejszej procedury. W tym ostatnim przypadku zespół wyjaśniający jest powoływany przez kierownika jednostki, a pełnomocnik podlega wyłączeniu z czynności w tej sprawie. </w:t>
      </w:r>
    </w:p>
    <w:p w14:paraId="4BC3FA7B"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Jeżeli zgłoszenie zawiera zbyt mało informacji, aby móc je prawidłowo zakwalifikować - pełnomocnik lub osoba przez niego upoważniona prosi sygnalistę o uzupełnienie przekazanych informacji. </w:t>
      </w:r>
    </w:p>
    <w:p w14:paraId="386D16A1"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Rejestracja zgłoszeń</w:t>
      </w:r>
    </w:p>
    <w:p w14:paraId="4C09DF13"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Pełnomocnik lub osoba przez niego upoważniona rejestruje w rejestrze wszystkie zgłoszenia wpływające wszystkimi technicznymi kanałami sygnalizacyjnymi. </w:t>
      </w:r>
    </w:p>
    <w:p w14:paraId="31BFCBC5"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Jeżeli zgłoszenie zawiera dane wrażliwie w rozumieniu art. 9 RODO, które nie zostały upublicznione przez osobę, której dotyczą, pełnomocnik lub osoba przez niego upoważniona usuwa te dane przed wpisaniem treści zgłoszenia do rejestru lub usuwa dane ze zgłoszenia automatycznie zapisywanego w rejestrze. </w:t>
      </w:r>
    </w:p>
    <w:p w14:paraId="25F925AD" w14:textId="60AAD304"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W przypadku zgłoszeń n</w:t>
      </w:r>
      <w:r w:rsidR="002540C7" w:rsidRPr="00FA3777">
        <w:rPr>
          <w:rFonts w:ascii="Times New Roman" w:hAnsi="Times New Roman" w:cs="Times New Roman"/>
          <w:lang w:val="pl-PL"/>
        </w:rPr>
        <w:t>iepodlegających rozpatrzeniu wg</w:t>
      </w:r>
      <w:r w:rsidRPr="00FA3777">
        <w:rPr>
          <w:rFonts w:ascii="Times New Roman" w:hAnsi="Times New Roman" w:cs="Times New Roman"/>
          <w:lang w:val="pl-PL"/>
        </w:rPr>
        <w:t xml:space="preserve"> niniejszej procedury wpisuje się do rejestru informację o przekazaniu zgłoszenia wg. właściwości (kiedy i komu) lub o pozostawieniu zgłoszenia bez rozpatrzenia, z podaniem przyczyny. Nie wpisuje się do rejestru informacji o wpływającej na kanały zgłoszeniowe korespondencji o charakterze reklamy, spamu itp. </w:t>
      </w:r>
    </w:p>
    <w:p w14:paraId="622720E8" w14:textId="77777777" w:rsidR="00E23B8B" w:rsidRPr="00FA3777" w:rsidRDefault="00E23B8B" w:rsidP="00E23B8B">
      <w:pPr>
        <w:jc w:val="both"/>
        <w:rPr>
          <w:rFonts w:ascii="Times New Roman" w:hAnsi="Times New Roman" w:cs="Times New Roman"/>
          <w:i/>
          <w:iCs/>
          <w:lang w:val="pl-PL"/>
        </w:rPr>
      </w:pPr>
      <w:r w:rsidRPr="00FA3777">
        <w:rPr>
          <w:rFonts w:ascii="Times New Roman" w:hAnsi="Times New Roman" w:cs="Times New Roman"/>
          <w:lang w:val="pl-PL"/>
        </w:rPr>
        <w:t>W przypadku ponowienia zgłoszenia, które zostało już wcześniej wyjaśnione, gdy ponowione zgłoszenie nie zawiera dodatkowych informacji – pełnomocnik może zadecydować o pozostawieniu zgłoszenia bez rozpatrzenia.</w:t>
      </w:r>
      <w:r w:rsidRPr="00FA3777">
        <w:rPr>
          <w:rFonts w:ascii="Times New Roman" w:hAnsi="Times New Roman" w:cs="Times New Roman"/>
          <w:i/>
          <w:iCs/>
          <w:lang w:val="pl-PL"/>
        </w:rPr>
        <w:t xml:space="preserve"> </w:t>
      </w:r>
    </w:p>
    <w:p w14:paraId="636E774C"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Potwierdzenie przyjęcia zgłoszenia</w:t>
      </w:r>
    </w:p>
    <w:p w14:paraId="1FE39466"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Bez zbędnej zwłoki, w terminie nie dłuższym niż 7 dni od wpłynięcia zgłoszenia (lub uzupełnienia informacji pozwalających na jego zakwalifikowanie), pełnomocnik lub osoba przez niego upoważniona: </w:t>
      </w:r>
    </w:p>
    <w:p w14:paraId="78C0D535" w14:textId="77777777" w:rsidR="00E23B8B" w:rsidRPr="00FA3777" w:rsidRDefault="00E23B8B" w:rsidP="00E23B8B">
      <w:pPr>
        <w:pStyle w:val="Akapitzlist"/>
        <w:numPr>
          <w:ilvl w:val="0"/>
          <w:numId w:val="3"/>
        </w:numPr>
        <w:jc w:val="both"/>
        <w:rPr>
          <w:rFonts w:ascii="Times New Roman" w:hAnsi="Times New Roman" w:cs="Times New Roman"/>
          <w:lang w:val="pl-PL"/>
        </w:rPr>
      </w:pPr>
      <w:r w:rsidRPr="00FA3777">
        <w:rPr>
          <w:rFonts w:ascii="Times New Roman" w:hAnsi="Times New Roman" w:cs="Times New Roman"/>
          <w:lang w:val="pl-PL"/>
        </w:rPr>
        <w:t>informuje sygnalistę o przyjęciu zgłoszenia (w przypadku zgłoszeń zakwalifikowanych jako zgłoszenie sygnalizacyjne) lub o pozostawieniu ponowionego zgłoszenia bez rozpatrzenia,</w:t>
      </w:r>
    </w:p>
    <w:p w14:paraId="18C04F63" w14:textId="77777777" w:rsidR="00E23B8B" w:rsidRPr="00FA3777" w:rsidRDefault="00E23B8B" w:rsidP="00E23B8B">
      <w:pPr>
        <w:pStyle w:val="Akapitzlist"/>
        <w:numPr>
          <w:ilvl w:val="0"/>
          <w:numId w:val="3"/>
        </w:numPr>
        <w:jc w:val="both"/>
        <w:rPr>
          <w:rFonts w:ascii="Times New Roman" w:hAnsi="Times New Roman" w:cs="Times New Roman"/>
          <w:lang w:val="pl-PL"/>
        </w:rPr>
      </w:pPr>
      <w:r w:rsidRPr="00FA3777">
        <w:rPr>
          <w:rFonts w:ascii="Times New Roman" w:hAnsi="Times New Roman" w:cs="Times New Roman"/>
          <w:lang w:val="pl-PL"/>
        </w:rPr>
        <w:t xml:space="preserve">informuje nadawcę o skierowaniu sprawy do rozpatrzenia w innym trybie (w przypadku zgłoszeń przekazanych wg. właściwości), </w:t>
      </w:r>
    </w:p>
    <w:p w14:paraId="24B249A1" w14:textId="77777777" w:rsidR="00E23B8B" w:rsidRPr="00FA3777" w:rsidRDefault="00E23B8B" w:rsidP="00E23B8B">
      <w:pPr>
        <w:pStyle w:val="Akapitzlist"/>
        <w:numPr>
          <w:ilvl w:val="0"/>
          <w:numId w:val="3"/>
        </w:numPr>
        <w:jc w:val="both"/>
        <w:rPr>
          <w:rFonts w:ascii="Times New Roman" w:hAnsi="Times New Roman" w:cs="Times New Roman"/>
          <w:lang w:val="pl-PL"/>
        </w:rPr>
      </w:pPr>
      <w:r w:rsidRPr="00FA3777">
        <w:rPr>
          <w:rFonts w:ascii="Times New Roman" w:hAnsi="Times New Roman" w:cs="Times New Roman"/>
          <w:lang w:val="pl-PL"/>
        </w:rPr>
        <w:t xml:space="preserve">może poinformować nadawcę o pozostawieniu zgłoszenia bez rozpatrzenia wraz z podaniem przyczyn (w przypadku pozostałych zgłoszeń).  </w:t>
      </w:r>
    </w:p>
    <w:p w14:paraId="66BF75F6"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lastRenderedPageBreak/>
        <w:t>Zasada należytej staranności</w:t>
      </w:r>
    </w:p>
    <w:p w14:paraId="5A1D3B5A"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Każde zgłoszenie należy rozpatrywać z należytą starannością, obiektywnie i dociekliwie, bez względu na to, kogo i jakiej sprawy dotyczy. </w:t>
      </w:r>
    </w:p>
    <w:p w14:paraId="395D2EE5"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Ocena konieczności natychmiastowego działania</w:t>
      </w:r>
    </w:p>
    <w:p w14:paraId="46DCE527"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Pełnomocnik dokonuje oceny zgłoszenia w zakresie informacji wymagających natychmiastowego działania przez organy jednostki w zakresie zapobieżenia niepowetowanej szkodzie dla interesu publicznego lub prywatnego albo w zakresie zabezpieczenia dowodów. </w:t>
      </w:r>
    </w:p>
    <w:p w14:paraId="234FDA78"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Dotyczyć to może przykładowo informacji o możliwości dokonania nienależnej wypłaty podmiotowi zewnętrznemu, przygotowania do podpisania niekorzystnej umowy, szykan w stosunku do sygnalisty lub możliwości zniszczenia dowodów. </w:t>
      </w:r>
    </w:p>
    <w:p w14:paraId="497CE424"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W przypadku występowania informacji wymagających natychmiastowego działania pełnomocnik przekazuje je niezwłocznie kierownikowi jednostki, z wnioskiem o podjęcie określonych czynności.</w:t>
      </w:r>
    </w:p>
    <w:p w14:paraId="57491BE8"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przypadku spraw dużej wagi, gdy pełnomocnik nie jest w stanie samodzielnie ocenić konieczności natychmiastowego działania, pełnomocnik przekazuje informację o zgłoszeniu kierownikowi jednostki, który ocenia sytuację i podejmuje niezbędne czynności. </w:t>
      </w:r>
    </w:p>
    <w:p w14:paraId="2AC08387"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Przekazując wnioski lub informacje pełnomocnik nie ujawnia tożsamości sygnalisty. </w:t>
      </w:r>
    </w:p>
    <w:p w14:paraId="36828944"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Ocena konieczności bezzwłocznego zawiadomienia właściwych organów</w:t>
      </w:r>
    </w:p>
    <w:p w14:paraId="48D8CA86"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Pełnomocnik dokonuje oceny zgłoszenia w zakresie przedstawienia przez sygnalistę wiarygodnych dowodów uzasadniających natychmiastowe włączenie do wyjaśnienia sprawy organów ścigania, UOKIK lub innych właściwych służb. </w:t>
      </w:r>
    </w:p>
    <w:p w14:paraId="3FDE41D5"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Może to przykładowo dotyczyć najpoważniejszych przestępstw (np. przeciwko Rzeczypospolitej Polskiej, zdrowiu, życiu) lub też konieczności zastosowania od samego początku technik operacyjno-rozpoznawczych lub dochodzeniowo-śledczych. </w:t>
      </w:r>
    </w:p>
    <w:p w14:paraId="4C906956" w14:textId="53D01292"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W uzasadnionych przypadkach pełnomocnik przygotowuje wniosek do właściwych organów</w:t>
      </w:r>
      <w:r w:rsidR="00AD5486">
        <w:rPr>
          <w:rFonts w:ascii="Times New Roman" w:hAnsi="Times New Roman" w:cs="Times New Roman"/>
          <w:lang w:val="pl-PL"/>
        </w:rPr>
        <w:t xml:space="preserve"> </w:t>
      </w:r>
      <w:r w:rsidR="00AD5486">
        <w:rPr>
          <w:rFonts w:ascii="Times New Roman" w:hAnsi="Times New Roman" w:cs="Times New Roman"/>
          <w:lang w:val="pl-PL"/>
        </w:rPr>
        <w:br/>
      </w:r>
      <w:r w:rsidRPr="00FA3777">
        <w:rPr>
          <w:rFonts w:ascii="Times New Roman" w:hAnsi="Times New Roman" w:cs="Times New Roman"/>
          <w:lang w:val="pl-PL"/>
        </w:rPr>
        <w:t xml:space="preserve">i współpracuje z nimi w wyjaśnianiu sprawy. </w:t>
      </w:r>
    </w:p>
    <w:p w14:paraId="5B25E3BA"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Taki tryb należy stosować w wyjątkowych przypadkach. Podstawowym trybem jest wewnętrzna weryfikacja zgłoszenia. </w:t>
      </w:r>
    </w:p>
    <w:p w14:paraId="579E4E74" w14:textId="70653F2E"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Należy unikać kierowania do właściwych </w:t>
      </w:r>
      <w:r w:rsidRPr="00AD5486">
        <w:rPr>
          <w:rFonts w:ascii="Times New Roman" w:hAnsi="Times New Roman" w:cs="Times New Roman"/>
          <w:color w:val="000000" w:themeColor="text1"/>
          <w:lang w:val="pl-PL"/>
        </w:rPr>
        <w:t>organów</w:t>
      </w:r>
      <w:r w:rsidR="00087E0A" w:rsidRPr="00AD5486">
        <w:rPr>
          <w:rFonts w:ascii="Times New Roman" w:hAnsi="Times New Roman" w:cs="Times New Roman"/>
          <w:color w:val="000000" w:themeColor="text1"/>
          <w:lang w:val="pl-PL"/>
        </w:rPr>
        <w:t xml:space="preserve"> niewłaściwie</w:t>
      </w:r>
      <w:r w:rsidRPr="00AD5486">
        <w:rPr>
          <w:rFonts w:ascii="Times New Roman" w:hAnsi="Times New Roman" w:cs="Times New Roman"/>
          <w:color w:val="000000" w:themeColor="text1"/>
          <w:lang w:val="pl-PL"/>
        </w:rPr>
        <w:t xml:space="preserve"> </w:t>
      </w:r>
      <w:r w:rsidRPr="00FA3777">
        <w:rPr>
          <w:rFonts w:ascii="Times New Roman" w:hAnsi="Times New Roman" w:cs="Times New Roman"/>
          <w:lang w:val="pl-PL"/>
        </w:rPr>
        <w:t xml:space="preserve">przygotowanych wniosków. Jeżeli nie zachodzi konieczność bezzwłocznego włączenia ich w proces wyjaśniania zgłoszenia, to należy stosować tryb opisany w kolejnych punktach procedury. Postępowanie wyjaśniające służy m.in. potwierdzeniu dowodów przekazanych przez sygnalistę i zebraniu dodatkowych dowodów przestępstwa lub zmowy przetargowej, aby ewentualne zawiadomienie było rzetelnie udokumentowane. </w:t>
      </w:r>
    </w:p>
    <w:p w14:paraId="6F34A9F4"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 xml:space="preserve">Postępowanie przygotowawcze </w:t>
      </w:r>
    </w:p>
    <w:p w14:paraId="5268F278"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Pełnomocnik dokonuje wstępnej analizy zgłoszenia. </w:t>
      </w:r>
    </w:p>
    <w:p w14:paraId="1F2AD71D"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Na tym etapie pełnomocnik lub osoby przez niego upoważnione są uprawnione do:</w:t>
      </w:r>
    </w:p>
    <w:p w14:paraId="498B2E21" w14:textId="77777777" w:rsidR="00E23B8B" w:rsidRPr="00FA3777" w:rsidRDefault="00E23B8B" w:rsidP="00E23B8B">
      <w:pPr>
        <w:pStyle w:val="Akapitzlist"/>
        <w:numPr>
          <w:ilvl w:val="0"/>
          <w:numId w:val="4"/>
        </w:numPr>
        <w:jc w:val="both"/>
        <w:rPr>
          <w:rFonts w:ascii="Times New Roman" w:hAnsi="Times New Roman" w:cs="Times New Roman"/>
          <w:lang w:val="pl-PL"/>
        </w:rPr>
      </w:pPr>
      <w:r w:rsidRPr="00FA3777">
        <w:rPr>
          <w:rFonts w:ascii="Times New Roman" w:hAnsi="Times New Roman" w:cs="Times New Roman"/>
          <w:lang w:val="pl-PL"/>
        </w:rPr>
        <w:t xml:space="preserve">występowania do sygnalisty o przekazanie dodatkowych informacji i dokumentów, </w:t>
      </w:r>
    </w:p>
    <w:p w14:paraId="7B758379" w14:textId="77777777" w:rsidR="00E23B8B" w:rsidRPr="00FA3777" w:rsidRDefault="00E23B8B" w:rsidP="00E23B8B">
      <w:pPr>
        <w:pStyle w:val="Akapitzlist"/>
        <w:numPr>
          <w:ilvl w:val="0"/>
          <w:numId w:val="4"/>
        </w:numPr>
        <w:jc w:val="both"/>
        <w:rPr>
          <w:rFonts w:ascii="Times New Roman" w:hAnsi="Times New Roman" w:cs="Times New Roman"/>
          <w:lang w:val="pl-PL"/>
        </w:rPr>
      </w:pPr>
      <w:r w:rsidRPr="00FA3777">
        <w:rPr>
          <w:rFonts w:ascii="Times New Roman" w:hAnsi="Times New Roman" w:cs="Times New Roman"/>
          <w:lang w:val="pl-PL"/>
        </w:rPr>
        <w:t xml:space="preserve">żądania / dostępu do dokumentów i danych jednostki. </w:t>
      </w:r>
    </w:p>
    <w:p w14:paraId="012A19ED"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lastRenderedPageBreak/>
        <w:t xml:space="preserve">Postępowanie przygotowawcze powinno zostać przeprowadzone w sposób ograniczający ryzyko zniszczenia dowodów w sprawie, której dotyczy zgłoszenie. </w:t>
      </w:r>
    </w:p>
    <w:p w14:paraId="47314934"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Jeżeli informacje przekazane przez sygnalistę są zbyt ogólne, aby móc je zweryfikować i nie udaje się otrzymać od niego informacji bardziej szczegółowych – można zawiesić sprawę bez rozpatrywania zgłoszenia. Jeżeli po jej zawieszeniu wpłyną skonkretyzowane informacje umożliwiające zbadanie zgłaszanych naruszeń – sprawę wznawia się. </w:t>
      </w:r>
    </w:p>
    <w:p w14:paraId="3F5EA1AD"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Jeżeli analiza danych i dokumentów jest wystarczająca do oceny stanu faktycznego, a zarzuty wobec osoby, której dotyczy zgłoszenie, się nie potwierdzają, pełnomocnik przygotowuje i przekazuje kierownikowi jednostki protokół ustaleń obejmujący ustalony stan faktyczny. Do protokołu [załącza się / może zostać załączona] propozycja dalszych działań.  </w:t>
      </w:r>
    </w:p>
    <w:p w14:paraId="2C6D4590"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Jeżeli analiza danych i dokumentów na etapie postępowania przygotowawczego nie jest wystarczająca do ustalenia stanu faktycznego, a w szczególności zachodzi konieczność umożliwienia prawa do obrony osobie, której dotyczy zgłoszenie, należy przejść do etapu postępowania wyjaśniającego. </w:t>
      </w:r>
    </w:p>
    <w:p w14:paraId="77126560"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przypadku dobrze udokumentowanego zgłoszenia, wskazującego na duże prawdopodobieństwo naruszeń, można pominąć etap postępowania przygotowawczego i przejść od razu do postępowania wyjaśniającego.  </w:t>
      </w:r>
    </w:p>
    <w:p w14:paraId="17C7F955"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Postępowanie wyjaśniające</w:t>
      </w:r>
    </w:p>
    <w:p w14:paraId="6DB4E341"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Celem postępowania wyjaśniającego jest ustalenie stanu faktycznego. </w:t>
      </w:r>
    </w:p>
    <w:p w14:paraId="4F7F295A"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Postępowanie jest prowadzone z uwzględnieniem postanowień procedury w sprawie ochrony tożsamości sygnalisty oraz ochrony praw osób, których dotyczy zgłoszenie. </w:t>
      </w:r>
    </w:p>
    <w:p w14:paraId="5C623B88" w14:textId="4FA132DE" w:rsidR="00E23B8B" w:rsidRPr="00FA3777" w:rsidRDefault="00CC5ED2" w:rsidP="00E23B8B">
      <w:pPr>
        <w:jc w:val="both"/>
        <w:rPr>
          <w:rFonts w:ascii="Times New Roman" w:hAnsi="Times New Roman" w:cs="Times New Roman"/>
          <w:lang w:val="pl-PL"/>
        </w:rPr>
      </w:pPr>
      <w:r w:rsidRPr="00FA3777">
        <w:rPr>
          <w:rFonts w:ascii="Times New Roman" w:hAnsi="Times New Roman" w:cs="Times New Roman"/>
          <w:lang w:val="pl-PL"/>
        </w:rPr>
        <w:t>W przypadku wpłynię</w:t>
      </w:r>
      <w:r w:rsidRPr="00AD5486">
        <w:rPr>
          <w:rFonts w:ascii="Times New Roman" w:hAnsi="Times New Roman" w:cs="Times New Roman"/>
          <w:color w:val="000000" w:themeColor="text1"/>
          <w:lang w:val="pl-PL"/>
        </w:rPr>
        <w:t>cia</w:t>
      </w:r>
      <w:r w:rsidR="00E23B8B" w:rsidRPr="00FA3777">
        <w:rPr>
          <w:rFonts w:ascii="Times New Roman" w:hAnsi="Times New Roman" w:cs="Times New Roman"/>
          <w:lang w:val="pl-PL"/>
        </w:rPr>
        <w:t xml:space="preserve"> kilku zgłoszeń o podobnych naruszeniach można w ramach jednego postępowania wyjaśniającego badać kilka zgłoszeń jednocześnie. </w:t>
      </w:r>
    </w:p>
    <w:p w14:paraId="3F92C871" w14:textId="77777777" w:rsidR="00E23B8B" w:rsidRPr="00FA3777" w:rsidRDefault="00E23B8B" w:rsidP="00E23B8B">
      <w:pPr>
        <w:pStyle w:val="Nagwek1"/>
        <w:numPr>
          <w:ilvl w:val="1"/>
          <w:numId w:val="1"/>
        </w:numPr>
        <w:rPr>
          <w:rFonts w:ascii="Times New Roman" w:hAnsi="Times New Roman" w:cs="Times New Roman"/>
          <w:lang w:val="pl-PL"/>
        </w:rPr>
      </w:pPr>
      <w:r w:rsidRPr="00FA3777">
        <w:rPr>
          <w:rFonts w:ascii="Times New Roman" w:hAnsi="Times New Roman" w:cs="Times New Roman"/>
          <w:lang w:val="pl-PL"/>
        </w:rPr>
        <w:t>Zespół wyjaśniający</w:t>
      </w:r>
    </w:p>
    <w:p w14:paraId="7D207070" w14:textId="40C5D6DA"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Postępowanie wyjaśniające prowadzone </w:t>
      </w:r>
      <w:r w:rsidRPr="00AD5486">
        <w:rPr>
          <w:rFonts w:ascii="Times New Roman" w:hAnsi="Times New Roman" w:cs="Times New Roman"/>
          <w:color w:val="000000" w:themeColor="text1"/>
          <w:lang w:val="pl-PL"/>
        </w:rPr>
        <w:t xml:space="preserve">jest </w:t>
      </w:r>
      <w:r w:rsidR="00CC5ED2" w:rsidRPr="00AD5486">
        <w:rPr>
          <w:rFonts w:ascii="Times New Roman" w:hAnsi="Times New Roman" w:cs="Times New Roman"/>
          <w:color w:val="000000" w:themeColor="text1"/>
          <w:lang w:val="pl-PL"/>
        </w:rPr>
        <w:t xml:space="preserve">przez </w:t>
      </w:r>
      <w:r w:rsidRPr="00AD5486">
        <w:rPr>
          <w:rFonts w:ascii="Times New Roman" w:hAnsi="Times New Roman" w:cs="Times New Roman"/>
          <w:color w:val="000000" w:themeColor="text1"/>
          <w:lang w:val="pl-PL"/>
        </w:rPr>
        <w:t xml:space="preserve">zespół </w:t>
      </w:r>
      <w:r w:rsidRPr="00FA3777">
        <w:rPr>
          <w:rFonts w:ascii="Times New Roman" w:hAnsi="Times New Roman" w:cs="Times New Roman"/>
          <w:lang w:val="pl-PL"/>
        </w:rPr>
        <w:t xml:space="preserve">składający się przynajmniej z dwóch osób, zapewniających niezależność, obiektywizm i kompetencje. </w:t>
      </w:r>
    </w:p>
    <w:p w14:paraId="60866D46" w14:textId="7E57BEE4"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Członkowie zespołu prowadzą postępowanie na podstawie stałych lub doraźnych upoważnień pełnomocnika. </w:t>
      </w:r>
    </w:p>
    <w:p w14:paraId="201B088C"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Skład zespołu prowadzącego postępowanie wyznacza pełnomocnik (może wyznaczyć do składu także siebie). W razie potrzeby do składu zespołu można powołać osoby nie będące pracownikami jednostki. </w:t>
      </w:r>
    </w:p>
    <w:p w14:paraId="4823AED6"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Do wykonania określonych czynności specjalistycznych w trakcie postępowania pełnomocnik może powołać dodatkowo ekspertów będących lub nie będących pracownikami jednostki.</w:t>
      </w:r>
    </w:p>
    <w:p w14:paraId="73DE56A4"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Członkiem zespołu ani ekspertem nie może być:  </w:t>
      </w:r>
    </w:p>
    <w:p w14:paraId="33AECD96" w14:textId="77777777" w:rsidR="00E23B8B" w:rsidRPr="00FA3777" w:rsidRDefault="00E23B8B" w:rsidP="00E23B8B">
      <w:pPr>
        <w:pStyle w:val="Akapitzlist"/>
        <w:numPr>
          <w:ilvl w:val="0"/>
          <w:numId w:val="5"/>
        </w:numPr>
        <w:jc w:val="both"/>
        <w:rPr>
          <w:rFonts w:ascii="Times New Roman" w:hAnsi="Times New Roman" w:cs="Times New Roman"/>
          <w:lang w:val="pl-PL"/>
        </w:rPr>
      </w:pPr>
      <w:r w:rsidRPr="00FA3777">
        <w:rPr>
          <w:rFonts w:ascii="Times New Roman" w:hAnsi="Times New Roman" w:cs="Times New Roman"/>
          <w:lang w:val="pl-PL"/>
        </w:rPr>
        <w:t xml:space="preserve">sygnalista, który przekazał zgłoszenie, będące przedmiotem wyjaśniania, </w:t>
      </w:r>
    </w:p>
    <w:p w14:paraId="5411BEA5" w14:textId="77777777" w:rsidR="00E23B8B" w:rsidRPr="00FA3777" w:rsidRDefault="00E23B8B" w:rsidP="00E23B8B">
      <w:pPr>
        <w:pStyle w:val="Akapitzlist"/>
        <w:numPr>
          <w:ilvl w:val="0"/>
          <w:numId w:val="5"/>
        </w:numPr>
        <w:jc w:val="both"/>
        <w:rPr>
          <w:rFonts w:ascii="Times New Roman" w:hAnsi="Times New Roman" w:cs="Times New Roman"/>
          <w:lang w:val="pl-PL"/>
        </w:rPr>
      </w:pPr>
      <w:r w:rsidRPr="00FA3777">
        <w:rPr>
          <w:rFonts w:ascii="Times New Roman" w:hAnsi="Times New Roman" w:cs="Times New Roman"/>
          <w:lang w:val="pl-PL"/>
        </w:rPr>
        <w:t xml:space="preserve">osoba, której dotyczy zgłoszenie, </w:t>
      </w:r>
    </w:p>
    <w:p w14:paraId="47CBA0E6" w14:textId="77777777" w:rsidR="00E23B8B" w:rsidRPr="00FA3777" w:rsidRDefault="00E23B8B" w:rsidP="00E23B8B">
      <w:pPr>
        <w:pStyle w:val="Akapitzlist"/>
        <w:numPr>
          <w:ilvl w:val="0"/>
          <w:numId w:val="5"/>
        </w:numPr>
        <w:jc w:val="both"/>
        <w:rPr>
          <w:rFonts w:ascii="Times New Roman" w:hAnsi="Times New Roman" w:cs="Times New Roman"/>
          <w:lang w:val="pl-PL"/>
        </w:rPr>
      </w:pPr>
      <w:r w:rsidRPr="00FA3777">
        <w:rPr>
          <w:rFonts w:ascii="Times New Roman" w:hAnsi="Times New Roman" w:cs="Times New Roman"/>
          <w:lang w:val="pl-PL"/>
        </w:rPr>
        <w:t xml:space="preserve">osoba będąca [bezpośrednim] podwładnym lub przełożonym osoby, której dotyczy zgłoszenie, </w:t>
      </w:r>
    </w:p>
    <w:p w14:paraId="69E8730A" w14:textId="77777777" w:rsidR="00E23B8B" w:rsidRPr="00FA3777" w:rsidRDefault="00E23B8B" w:rsidP="00E23B8B">
      <w:pPr>
        <w:pStyle w:val="Akapitzlist"/>
        <w:numPr>
          <w:ilvl w:val="0"/>
          <w:numId w:val="5"/>
        </w:numPr>
        <w:jc w:val="both"/>
        <w:rPr>
          <w:rFonts w:ascii="Times New Roman" w:hAnsi="Times New Roman" w:cs="Times New Roman"/>
          <w:lang w:val="pl-PL"/>
        </w:rPr>
      </w:pPr>
      <w:r w:rsidRPr="00FA3777">
        <w:rPr>
          <w:rFonts w:ascii="Times New Roman" w:hAnsi="Times New Roman" w:cs="Times New Roman"/>
          <w:lang w:val="pl-PL"/>
        </w:rPr>
        <w:t xml:space="preserve">osoba bliska w stosunku do osoby, której dotyczy zgłoszenie (w rozumieniu przepisów kodeksu karnego), </w:t>
      </w:r>
    </w:p>
    <w:p w14:paraId="15923E85" w14:textId="77777777" w:rsidR="00E23B8B" w:rsidRPr="00FA3777" w:rsidRDefault="00E23B8B" w:rsidP="00E23B8B">
      <w:pPr>
        <w:pStyle w:val="Akapitzlist"/>
        <w:numPr>
          <w:ilvl w:val="0"/>
          <w:numId w:val="5"/>
        </w:numPr>
        <w:jc w:val="both"/>
        <w:rPr>
          <w:rFonts w:ascii="Times New Roman" w:hAnsi="Times New Roman" w:cs="Times New Roman"/>
          <w:lang w:val="pl-PL"/>
        </w:rPr>
      </w:pPr>
      <w:r w:rsidRPr="00FA3777">
        <w:rPr>
          <w:rFonts w:ascii="Times New Roman" w:hAnsi="Times New Roman" w:cs="Times New Roman"/>
          <w:lang w:val="pl-PL"/>
        </w:rPr>
        <w:t xml:space="preserve">osoba wykonująca czynności lub załatwiająca sprawy, których prawidłowość będzie przedmiotem badania (może nim być osoba wykonująca czynności lub załatwiająca sprawy tego typu), </w:t>
      </w:r>
    </w:p>
    <w:p w14:paraId="26753FC5" w14:textId="77777777" w:rsidR="00E23B8B" w:rsidRPr="00FA3777" w:rsidRDefault="00E23B8B" w:rsidP="00E23B8B">
      <w:pPr>
        <w:pStyle w:val="Akapitzlist"/>
        <w:numPr>
          <w:ilvl w:val="0"/>
          <w:numId w:val="5"/>
        </w:numPr>
        <w:jc w:val="both"/>
        <w:rPr>
          <w:rFonts w:ascii="Times New Roman" w:hAnsi="Times New Roman" w:cs="Times New Roman"/>
          <w:lang w:val="pl-PL"/>
        </w:rPr>
      </w:pPr>
      <w:r w:rsidRPr="00FA3777">
        <w:rPr>
          <w:rFonts w:ascii="Times New Roman" w:hAnsi="Times New Roman" w:cs="Times New Roman"/>
          <w:lang w:val="pl-PL"/>
        </w:rPr>
        <w:lastRenderedPageBreak/>
        <w:t xml:space="preserve">osoba, której udział w postępowaniu wzbudzałby uzasadnione wątpliwości co do jej bezstronności z innych przyczyn.  </w:t>
      </w:r>
    </w:p>
    <w:p w14:paraId="7B1C3F08" w14:textId="3705CB80"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Udział w pracach zespołu członka lub eksperta, który nie jest pracownikiem jednostki wymaga z</w:t>
      </w:r>
      <w:r w:rsidR="006E624E" w:rsidRPr="00FA3777">
        <w:rPr>
          <w:rFonts w:ascii="Times New Roman" w:hAnsi="Times New Roman" w:cs="Times New Roman"/>
          <w:lang w:val="pl-PL"/>
        </w:rPr>
        <w:t>a</w:t>
      </w:r>
      <w:r w:rsidRPr="00FA3777">
        <w:rPr>
          <w:rFonts w:ascii="Times New Roman" w:hAnsi="Times New Roman" w:cs="Times New Roman"/>
          <w:lang w:val="pl-PL"/>
        </w:rPr>
        <w:t xml:space="preserve">warcia umowy o poufności oraz o ochronie danych osobowych. </w:t>
      </w:r>
    </w:p>
    <w:p w14:paraId="05AB0747" w14:textId="77777777" w:rsidR="00E23B8B" w:rsidRPr="00FA3777" w:rsidRDefault="00E23B8B" w:rsidP="00E23B8B">
      <w:pPr>
        <w:pStyle w:val="Nagwek1"/>
        <w:numPr>
          <w:ilvl w:val="1"/>
          <w:numId w:val="1"/>
        </w:numPr>
        <w:rPr>
          <w:rFonts w:ascii="Times New Roman" w:hAnsi="Times New Roman" w:cs="Times New Roman"/>
          <w:lang w:val="pl-PL"/>
        </w:rPr>
      </w:pPr>
      <w:r w:rsidRPr="00FA3777">
        <w:rPr>
          <w:rFonts w:ascii="Times New Roman" w:hAnsi="Times New Roman" w:cs="Times New Roman"/>
          <w:lang w:val="pl-PL"/>
        </w:rPr>
        <w:t>Zabezpieczenie prawidłowego toku postępowania</w:t>
      </w:r>
    </w:p>
    <w:p w14:paraId="0D42DB87"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razie potrzeby zapewnienia prawidłowego toku postępowania zespół może wystąpić do kierownika jednostki lub właściwych dyrektorów o: </w:t>
      </w:r>
    </w:p>
    <w:p w14:paraId="58EC8E60"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zabezpieczenie i przekazanie określonych dowodów, </w:t>
      </w:r>
    </w:p>
    <w:p w14:paraId="061EEBE5"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odsunięcie od określonych zadań pracownika / pracowników, których dotyczy / może dotyczyć zgłoszenie, </w:t>
      </w:r>
    </w:p>
    <w:p w14:paraId="6B4C5CB2"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inne działania zabezpieczające prawidłowy tok postępowania. </w:t>
      </w:r>
    </w:p>
    <w:p w14:paraId="6B8D14D1" w14:textId="77777777" w:rsidR="00E23B8B" w:rsidRPr="00FA3777" w:rsidRDefault="00E23B8B" w:rsidP="00E23B8B">
      <w:pPr>
        <w:pStyle w:val="Nagwek1"/>
        <w:numPr>
          <w:ilvl w:val="1"/>
          <w:numId w:val="1"/>
        </w:numPr>
        <w:rPr>
          <w:rFonts w:ascii="Times New Roman" w:hAnsi="Times New Roman" w:cs="Times New Roman"/>
          <w:lang w:val="pl-PL"/>
        </w:rPr>
      </w:pPr>
      <w:r w:rsidRPr="00FA3777">
        <w:rPr>
          <w:rFonts w:ascii="Times New Roman" w:hAnsi="Times New Roman" w:cs="Times New Roman"/>
          <w:lang w:val="pl-PL"/>
        </w:rPr>
        <w:t>Uprawnienia zespołu</w:t>
      </w:r>
    </w:p>
    <w:p w14:paraId="1E649562"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trakcie prowadzenia postępowania wyjaśniającego członkowie zespołu mają prawo: </w:t>
      </w:r>
    </w:p>
    <w:p w14:paraId="13C38308"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dostępu do dokumentów i danych jednostki, </w:t>
      </w:r>
    </w:p>
    <w:p w14:paraId="4E8686BF"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uzyskiwania przetworzonych i nieprzetworzonych informacji od (dyrektorów) poszczególnych komórek organizacyjnych, </w:t>
      </w:r>
    </w:p>
    <w:p w14:paraId="19EC3A1C"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uzyskiwania ustnych i pisemnych wyjaśnień od pracowników i zleceniobiorców jednostki, </w:t>
      </w:r>
    </w:p>
    <w:p w14:paraId="167E0D28" w14:textId="3336B31E"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dostępu do danych ze służbowych k</w:t>
      </w:r>
      <w:r w:rsidR="006E624E" w:rsidRPr="00FA3777">
        <w:rPr>
          <w:rFonts w:ascii="Times New Roman" w:hAnsi="Times New Roman" w:cs="Times New Roman"/>
          <w:lang w:val="pl-PL"/>
        </w:rPr>
        <w:t>omputerów i telefonów jednostki,</w:t>
      </w:r>
    </w:p>
    <w:p w14:paraId="7CCB67DB" w14:textId="227BA3D0"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dostępu do danych z monitoringu wizyjnego </w:t>
      </w:r>
    </w:p>
    <w:p w14:paraId="225C42D5"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dostępu do pomieszczeń jednostki w celu dokonania wizji lokalnej lub przeszukania i zabezpieczenia dowodów,</w:t>
      </w:r>
    </w:p>
    <w:p w14:paraId="487CAC09"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korzystania z pomocy inspektora ochrony danych osobowych, </w:t>
      </w:r>
    </w:p>
    <w:p w14:paraId="71E0BA1F"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korzystania z pomocy dyrektorów poszczególnych komórek organizacyjnych jednostki w trakcie prowadzonych czynności, </w:t>
      </w:r>
    </w:p>
    <w:p w14:paraId="555123D5" w14:textId="77777777" w:rsidR="00E23B8B" w:rsidRPr="00FA3777" w:rsidRDefault="00E23B8B" w:rsidP="00E23B8B">
      <w:pPr>
        <w:pStyle w:val="Akapitzlist"/>
        <w:numPr>
          <w:ilvl w:val="0"/>
          <w:numId w:val="6"/>
        </w:numPr>
        <w:jc w:val="both"/>
        <w:rPr>
          <w:rFonts w:ascii="Times New Roman" w:hAnsi="Times New Roman" w:cs="Times New Roman"/>
          <w:lang w:val="pl-PL"/>
        </w:rPr>
      </w:pPr>
      <w:r w:rsidRPr="00FA3777">
        <w:rPr>
          <w:rFonts w:ascii="Times New Roman" w:hAnsi="Times New Roman" w:cs="Times New Roman"/>
          <w:lang w:val="pl-PL"/>
        </w:rPr>
        <w:t xml:space="preserve">konsultowania, w niezbędnym zakresie, uzyskanych informacji i danych z sygnalistą. </w:t>
      </w:r>
    </w:p>
    <w:p w14:paraId="24D883DD" w14:textId="09881A37" w:rsidR="00E23B8B" w:rsidRPr="00FA3777" w:rsidRDefault="00E23B8B" w:rsidP="00E23B8B">
      <w:pPr>
        <w:pStyle w:val="Akapitzlist"/>
        <w:jc w:val="both"/>
        <w:rPr>
          <w:rFonts w:ascii="Times New Roman" w:hAnsi="Times New Roman" w:cs="Times New Roman"/>
          <w:lang w:val="pl-PL"/>
        </w:rPr>
      </w:pPr>
      <w:r w:rsidRPr="00FA3777">
        <w:rPr>
          <w:rFonts w:ascii="Times New Roman" w:hAnsi="Times New Roman" w:cs="Times New Roman"/>
          <w:lang w:val="pl-PL"/>
        </w:rPr>
        <w:t>[Uwaga, w jednostkach innych niż jednostki policji i podobne, zespół NIE ma prawa stosowania środków operacyjno-rozpoznawczych typu zakładanie podsłuchu lub kontrolowane</w:t>
      </w:r>
      <w:r w:rsidR="006E624E" w:rsidRPr="00FA3777">
        <w:rPr>
          <w:rFonts w:ascii="Times New Roman" w:hAnsi="Times New Roman" w:cs="Times New Roman"/>
          <w:lang w:val="pl-PL"/>
        </w:rPr>
        <w:t xml:space="preserve"> wręczanie korzyści majątkowej.</w:t>
      </w:r>
    </w:p>
    <w:p w14:paraId="214774D4" w14:textId="77777777" w:rsidR="00E23B8B" w:rsidRPr="00FA3777" w:rsidRDefault="00E23B8B" w:rsidP="00E23B8B">
      <w:pPr>
        <w:pStyle w:val="Nagwek1"/>
        <w:numPr>
          <w:ilvl w:val="1"/>
          <w:numId w:val="1"/>
        </w:numPr>
        <w:rPr>
          <w:rFonts w:ascii="Times New Roman" w:hAnsi="Times New Roman" w:cs="Times New Roman"/>
          <w:lang w:val="pl-PL"/>
        </w:rPr>
      </w:pPr>
      <w:r w:rsidRPr="00FA3777">
        <w:rPr>
          <w:rFonts w:ascii="Times New Roman" w:hAnsi="Times New Roman" w:cs="Times New Roman"/>
          <w:lang w:val="pl-PL"/>
        </w:rPr>
        <w:t xml:space="preserve">Protokół </w:t>
      </w:r>
    </w:p>
    <w:p w14:paraId="4D599DB1"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Z ustaleń poczynionych podczas postępowania wyjaśniającego zespół sporządza protokół i przedkłada go kierownikowi jednostki za pośrednictwem pełnomocnika. </w:t>
      </w:r>
    </w:p>
    <w:p w14:paraId="02035D61"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Protokół zawiera opis ustalonego stanu faktycznego, w tym ustalone nieprawidłowości i ich przyczyny, zakres i skutki oraz osoby za nie odpowiedzialne. </w:t>
      </w:r>
    </w:p>
    <w:p w14:paraId="5622100E" w14:textId="77777777" w:rsidR="00E23B8B" w:rsidRPr="00FA3777" w:rsidRDefault="00E23B8B" w:rsidP="00E23B8B">
      <w:pPr>
        <w:pStyle w:val="Nagwek1"/>
        <w:numPr>
          <w:ilvl w:val="1"/>
          <w:numId w:val="1"/>
        </w:numPr>
        <w:rPr>
          <w:rFonts w:ascii="Times New Roman" w:hAnsi="Times New Roman" w:cs="Times New Roman"/>
          <w:lang w:val="pl-PL"/>
        </w:rPr>
      </w:pPr>
      <w:r w:rsidRPr="00FA3777">
        <w:rPr>
          <w:rFonts w:ascii="Times New Roman" w:hAnsi="Times New Roman" w:cs="Times New Roman"/>
          <w:lang w:val="pl-PL"/>
        </w:rPr>
        <w:t xml:space="preserve">Przepisy </w:t>
      </w:r>
      <w:proofErr w:type="spellStart"/>
      <w:r w:rsidRPr="00FA3777">
        <w:rPr>
          <w:rFonts w:ascii="Times New Roman" w:hAnsi="Times New Roman" w:cs="Times New Roman"/>
          <w:lang w:val="pl-PL"/>
        </w:rPr>
        <w:t>ws</w:t>
      </w:r>
      <w:proofErr w:type="spellEnd"/>
      <w:r w:rsidRPr="00FA3777">
        <w:rPr>
          <w:rFonts w:ascii="Times New Roman" w:hAnsi="Times New Roman" w:cs="Times New Roman"/>
          <w:lang w:val="pl-PL"/>
        </w:rPr>
        <w:t xml:space="preserve">. kontroli wewnętrznej </w:t>
      </w:r>
    </w:p>
    <w:p w14:paraId="73CEBD4E"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zakresie nieuregulowanym w procedurze, do postępowania wyjaśniającego stosuje się odpowiednio przepisy dotyczące kontroli wewnętrznej w jednostce. </w:t>
      </w:r>
    </w:p>
    <w:p w14:paraId="2DB9049B"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Wykaz środków</w:t>
      </w:r>
    </w:p>
    <w:p w14:paraId="2DF26F33"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Do protokołu z postępowania przygotowawczego lub protokołu z postępowania wyjaśniającego, przekazywanych kierownikowi jednostki, pełnomocnik załącza propozycje dalszych działań. W </w:t>
      </w:r>
      <w:r w:rsidRPr="00FA3777">
        <w:rPr>
          <w:rFonts w:ascii="Times New Roman" w:hAnsi="Times New Roman" w:cs="Times New Roman"/>
          <w:lang w:val="pl-PL"/>
        </w:rPr>
        <w:lastRenderedPageBreak/>
        <w:t xml:space="preserve">zależności od ustaleń działania te mogą obejmować czynności przeciwko osobom winnym naruszeń, działania zapobiegające naruszeniom oraz wzmacniające system kontroli wewnętrznej w jednostce. </w:t>
      </w:r>
    </w:p>
    <w:p w14:paraId="48A0B68B"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Środki takie mogą obejmować w szczególności:  </w:t>
      </w:r>
    </w:p>
    <w:p w14:paraId="5887C31E"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 xml:space="preserve">zamknięcie procedury bez podejmowania dalszych działań (w wypadku niepotwierdzenia się zgłoszenia), </w:t>
      </w:r>
    </w:p>
    <w:p w14:paraId="6B5540D2"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 xml:space="preserve">przeprowadzenie rozmowy, zwrócenie uwagi pracownikowi, </w:t>
      </w:r>
    </w:p>
    <w:p w14:paraId="40A499D9"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upomnienie pracownika, pozbawienie nagrody, premii itp.</w:t>
      </w:r>
    </w:p>
    <w:p w14:paraId="05AEE07E"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 xml:space="preserve">zmiany lub rotacje na stanowiskach,  </w:t>
      </w:r>
    </w:p>
    <w:p w14:paraId="20E70044"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wnioski prewencyjne o charakterze zarządczym lub organizacyjnym,</w:t>
      </w:r>
    </w:p>
    <w:p w14:paraId="5901F6E9"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zmiany w wewnętrznych procedurach,</w:t>
      </w:r>
    </w:p>
    <w:p w14:paraId="3B6A2A0D"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 xml:space="preserve">podjęcie działań cywilnoprawnych, dotyczących np. zawartych umów, naprawienia szkody, wypłacenia odszkodowania, </w:t>
      </w:r>
    </w:p>
    <w:p w14:paraId="72DC13A7"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złożenie wniosku o wszczęcie postępowania dyscyplinarnego / służbowego,</w:t>
      </w:r>
    </w:p>
    <w:p w14:paraId="7FEAF330"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 xml:space="preserve">złożenie wniosku o wszczęcie postępowania </w:t>
      </w:r>
      <w:proofErr w:type="spellStart"/>
      <w:r w:rsidRPr="00FA3777">
        <w:rPr>
          <w:rFonts w:ascii="Times New Roman" w:hAnsi="Times New Roman" w:cs="Times New Roman"/>
          <w:lang w:val="pl-PL"/>
        </w:rPr>
        <w:t>ws</w:t>
      </w:r>
      <w:proofErr w:type="spellEnd"/>
      <w:r w:rsidRPr="00FA3777">
        <w:rPr>
          <w:rFonts w:ascii="Times New Roman" w:hAnsi="Times New Roman" w:cs="Times New Roman"/>
          <w:lang w:val="pl-PL"/>
        </w:rPr>
        <w:t xml:space="preserve">. naruszenia dyscypliny finansów publicznych, </w:t>
      </w:r>
    </w:p>
    <w:p w14:paraId="73806CA6"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 xml:space="preserve">złożenie zawiadomienia do UOKiK, </w:t>
      </w:r>
    </w:p>
    <w:p w14:paraId="20D51205"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złożenie zawiadomienia o uzasadnionym podejrzeniu popełnienia przestępstwa (w przypadku zgromadzenia dowodów),</w:t>
      </w:r>
    </w:p>
    <w:p w14:paraId="29210B15" w14:textId="77777777" w:rsidR="00E23B8B" w:rsidRPr="00FA3777" w:rsidRDefault="00E23B8B" w:rsidP="00E23B8B">
      <w:pPr>
        <w:pStyle w:val="Akapitzlist"/>
        <w:numPr>
          <w:ilvl w:val="0"/>
          <w:numId w:val="8"/>
        </w:numPr>
        <w:jc w:val="both"/>
        <w:rPr>
          <w:rFonts w:ascii="Times New Roman" w:hAnsi="Times New Roman" w:cs="Times New Roman"/>
          <w:lang w:val="pl-PL"/>
        </w:rPr>
      </w:pPr>
      <w:r w:rsidRPr="00FA3777">
        <w:rPr>
          <w:rFonts w:ascii="Times New Roman" w:hAnsi="Times New Roman" w:cs="Times New Roman"/>
          <w:lang w:val="pl-PL"/>
        </w:rPr>
        <w:t>poinformowanie właściwych służb (w przypadku zgromadzenia poszlak).</w:t>
      </w:r>
    </w:p>
    <w:p w14:paraId="73B2E01F"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Kierownik jednostki określa dalsze działania i osoby odpowiedzialne za ich realizację. Pełnomocnik monitoruje realizację tych działań oraz udziela pomocy osobom za nie odpowiedzialnym.  </w:t>
      </w:r>
    </w:p>
    <w:p w14:paraId="304CE7A5"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Działania końcowe</w:t>
      </w:r>
    </w:p>
    <w:p w14:paraId="115F6B74"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Pełnomocnik informuje sygnalistę o poczynionych ustaleniach oraz o zatwierdzonych środkach niezwłocznie po zatwierdzeniu wniosków przez kierownika jednostki, nie później niż w 3 miesiące od zgłoszenia. </w:t>
      </w:r>
    </w:p>
    <w:p w14:paraId="14A9F1B2"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W przypadku, jeżeli wyjaśnianie zgłoszenia trwa dłużej – sygnalista w terminie 3 miesięcy od zgłoszenia otrzymuje informację o postępach postępowania wyjaśniającego, a informację o jego wynikach – niezwłocznie po zatwierdzeniu wniosków przez kierownika jednostki.  </w:t>
      </w:r>
    </w:p>
    <w:p w14:paraId="56AA081D" w14:textId="77777777" w:rsidR="00E23B8B" w:rsidRPr="00FA3777" w:rsidRDefault="00E23B8B" w:rsidP="00E23B8B">
      <w:pPr>
        <w:jc w:val="both"/>
        <w:rPr>
          <w:rFonts w:ascii="Times New Roman" w:hAnsi="Times New Roman" w:cs="Times New Roman"/>
          <w:lang w:val="pl-PL"/>
        </w:rPr>
      </w:pPr>
      <w:r w:rsidRPr="00FA3777">
        <w:rPr>
          <w:rFonts w:ascii="Times New Roman" w:hAnsi="Times New Roman" w:cs="Times New Roman"/>
          <w:lang w:val="pl-PL"/>
        </w:rPr>
        <w:t xml:space="preserve">Poczynione ustalenia, zatwierdzone środki oraz ich realizacja są rejestrowane w rejestrze zgłoszeń. </w:t>
      </w:r>
    </w:p>
    <w:p w14:paraId="54062131" w14:textId="77777777" w:rsidR="00E23B8B" w:rsidRPr="00FA3777" w:rsidRDefault="00E23B8B" w:rsidP="00E23B8B">
      <w:pPr>
        <w:pStyle w:val="Nagwek1"/>
        <w:rPr>
          <w:rFonts w:ascii="Times New Roman" w:hAnsi="Times New Roman" w:cs="Times New Roman"/>
          <w:lang w:val="pl-PL"/>
        </w:rPr>
      </w:pPr>
      <w:r w:rsidRPr="00FA3777">
        <w:rPr>
          <w:rFonts w:ascii="Times New Roman" w:hAnsi="Times New Roman" w:cs="Times New Roman"/>
          <w:lang w:val="pl-PL"/>
        </w:rPr>
        <w:t>Zewnętrzne kanały dokonywania zgłoszeń</w:t>
      </w:r>
    </w:p>
    <w:p w14:paraId="349AA29B" w14:textId="0CA97BB7" w:rsidR="007772F5" w:rsidRPr="007772F5" w:rsidRDefault="009F1CD8" w:rsidP="007772F5">
      <w:pPr>
        <w:jc w:val="both"/>
        <w:rPr>
          <w:rFonts w:ascii="Times New Roman" w:hAnsi="Times New Roman" w:cs="Times New Roman"/>
          <w:b/>
          <w:bCs/>
          <w:lang w:val="pl-PL"/>
        </w:rPr>
      </w:pPr>
      <w:r w:rsidRPr="00FA3777">
        <w:rPr>
          <w:rFonts w:ascii="Times New Roman" w:hAnsi="Times New Roman" w:cs="Times New Roman"/>
          <w:lang w:val="pl-PL"/>
        </w:rPr>
        <w:t xml:space="preserve"> </w:t>
      </w:r>
    </w:p>
    <w:p w14:paraId="4CF3C553" w14:textId="24A3CA20" w:rsidR="007772F5" w:rsidRPr="007772F5" w:rsidRDefault="007772F5" w:rsidP="007772F5">
      <w:pPr>
        <w:jc w:val="both"/>
        <w:rPr>
          <w:rFonts w:ascii="Times New Roman" w:hAnsi="Times New Roman" w:cs="Times New Roman"/>
          <w:lang w:val="pl-PL"/>
        </w:rPr>
      </w:pPr>
      <w:r w:rsidRPr="007772F5">
        <w:rPr>
          <w:rFonts w:ascii="Times New Roman" w:hAnsi="Times New Roman" w:cs="Times New Roman"/>
          <w:lang w:val="pl-PL"/>
        </w:rPr>
        <w:t xml:space="preserve">Rzecznik Praw Obywatelskich przyjmuje zgłoszenia </w:t>
      </w:r>
      <w:proofErr w:type="gramStart"/>
      <w:r w:rsidRPr="007772F5">
        <w:rPr>
          <w:rFonts w:ascii="Times New Roman" w:hAnsi="Times New Roman" w:cs="Times New Roman"/>
          <w:lang w:val="pl-PL"/>
        </w:rPr>
        <w:t>zewnętrzne  sygnalistów</w:t>
      </w:r>
      <w:proofErr w:type="gramEnd"/>
      <w:r w:rsidRPr="007772F5">
        <w:rPr>
          <w:rFonts w:ascii="Times New Roman" w:hAnsi="Times New Roman" w:cs="Times New Roman"/>
          <w:lang w:val="pl-PL"/>
        </w:rPr>
        <w:t xml:space="preserve"> zawierające informacje o naruszeniach prawa, wstępnie je weryfikuje i przekazuje organom publicznym właściwym do podjęcia działań następczych. Rzecznik samodzielnie rozpoznaje zgłoszenia dotyczące konstytucyjnych praw i wolności, jeżeli żaden inny organ nie jest właściwy w danej sprawie.</w:t>
      </w:r>
      <w:r>
        <w:rPr>
          <w:rFonts w:ascii="Times New Roman" w:hAnsi="Times New Roman" w:cs="Times New Roman"/>
          <w:lang w:val="pl-PL"/>
        </w:rPr>
        <w:t xml:space="preserve"> </w:t>
      </w:r>
      <w:r w:rsidRPr="007772F5">
        <w:rPr>
          <w:rFonts w:ascii="Times New Roman" w:hAnsi="Times New Roman" w:cs="Times New Roman"/>
          <w:lang w:val="pl-PL"/>
        </w:rPr>
        <w:t>Bezpieczne kanały zgłoszeń pozwalają na dokonanie skutecznego zgłoszenia naruszenia prawa. Formularz zewnętrznego zgłoszenia sygnalisty umożliwia dokonanie kompletnego zgłoszenia wraz z ewentualnymi załącznikami. Korzystając z formularza można zachować anonimowość.</w:t>
      </w:r>
      <w:r>
        <w:rPr>
          <w:rFonts w:ascii="Times New Roman" w:hAnsi="Times New Roman" w:cs="Times New Roman"/>
          <w:lang w:val="pl-PL"/>
        </w:rPr>
        <w:t xml:space="preserve"> </w:t>
      </w:r>
      <w:r w:rsidRPr="007772F5">
        <w:rPr>
          <w:rFonts w:ascii="Times New Roman" w:hAnsi="Times New Roman" w:cs="Times New Roman"/>
          <w:lang w:val="pl-PL"/>
        </w:rPr>
        <w:t>Zgłoszenie zewnętrzne do Rzecznika Praw Obywatelskich jest bezpłatne.</w:t>
      </w:r>
    </w:p>
    <w:p w14:paraId="10BFC64D" w14:textId="3A8DEB16" w:rsidR="00E23B8B" w:rsidRPr="00FA3777" w:rsidRDefault="007772F5" w:rsidP="007772F5">
      <w:pPr>
        <w:jc w:val="both"/>
        <w:rPr>
          <w:rFonts w:ascii="Times New Roman" w:hAnsi="Times New Roman" w:cs="Times New Roman"/>
          <w:lang w:val="pl-PL"/>
        </w:rPr>
      </w:pPr>
      <w:r w:rsidRPr="007772F5">
        <w:rPr>
          <w:rFonts w:ascii="Times New Roman" w:hAnsi="Times New Roman" w:cs="Times New Roman"/>
          <w:lang w:val="pl-PL"/>
        </w:rPr>
        <w:t>Od 25 września 2024 roku sygnalista, który pracuje lub jest powiązany innego rodzaju relacją związaną z wykonywaniem pracy lub realizacją umów z organizacją, ma możliwość złożenia zgłoszenia według procedury zgłoszeń wewnętrznych. </w:t>
      </w:r>
      <w:r w:rsidRPr="007772F5">
        <w:rPr>
          <w:rFonts w:ascii="Times New Roman" w:hAnsi="Times New Roman" w:cs="Times New Roman"/>
          <w:b/>
          <w:bCs/>
          <w:lang w:val="pl-PL"/>
        </w:rPr>
        <w:t>Jeżeli naruszeniu prawa można skutecznie zaradzić w ramach struktury organizacyjnej podmiotu prawnego i nie zachodzi ryzyko działań odwetowych, rozważ dokonanie zgłoszenia wewnętrznego</w:t>
      </w:r>
      <w:r w:rsidRPr="007772F5">
        <w:rPr>
          <w:rFonts w:ascii="Times New Roman" w:hAnsi="Times New Roman" w:cs="Times New Roman"/>
          <w:lang w:val="pl-PL"/>
        </w:rPr>
        <w:t>.</w:t>
      </w:r>
    </w:p>
    <w:p w14:paraId="5D9BFB67" w14:textId="77777777" w:rsidR="00FA3777" w:rsidRPr="00FA3777" w:rsidRDefault="00FA3777" w:rsidP="00FA3777">
      <w:pPr>
        <w:pStyle w:val="Nagwek1"/>
        <w:rPr>
          <w:rFonts w:ascii="Times New Roman" w:hAnsi="Times New Roman" w:cs="Times New Roman"/>
          <w:lang w:val="pl-PL"/>
        </w:rPr>
      </w:pPr>
      <w:r w:rsidRPr="00FA3777">
        <w:rPr>
          <w:rFonts w:ascii="Times New Roman" w:hAnsi="Times New Roman" w:cs="Times New Roman"/>
          <w:lang w:val="pl-PL"/>
        </w:rPr>
        <w:lastRenderedPageBreak/>
        <w:t>Odpowiedzialność karna</w:t>
      </w:r>
    </w:p>
    <w:p w14:paraId="440884C5" w14:textId="77777777" w:rsidR="00FA3777" w:rsidRPr="00FA3777" w:rsidRDefault="00FA3777" w:rsidP="00FA3777">
      <w:pPr>
        <w:rPr>
          <w:rFonts w:ascii="Times New Roman" w:hAnsi="Times New Roman" w:cs="Times New Roman"/>
          <w:lang w:val="pl-PL"/>
        </w:rPr>
      </w:pPr>
    </w:p>
    <w:p w14:paraId="15DA580E" w14:textId="77777777" w:rsidR="00FA3777" w:rsidRPr="00FA3777" w:rsidRDefault="00FA3777" w:rsidP="00FA3777">
      <w:pPr>
        <w:pStyle w:val="Akapitzlist"/>
        <w:numPr>
          <w:ilvl w:val="0"/>
          <w:numId w:val="19"/>
        </w:numPr>
        <w:jc w:val="both"/>
        <w:rPr>
          <w:rFonts w:ascii="Times New Roman" w:hAnsi="Times New Roman" w:cs="Times New Roman"/>
          <w:lang w:val="pl-PL"/>
        </w:rPr>
      </w:pPr>
      <w:r w:rsidRPr="00FA3777">
        <w:rPr>
          <w:rFonts w:ascii="Times New Roman" w:hAnsi="Times New Roman" w:cs="Times New Roman"/>
          <w:lang w:val="pl-PL"/>
        </w:rPr>
        <w:t>Osoba uniemożliwiająca lub istotnie utrudniająca zgłoszenie podlega grzywnie, karze ograniczenia wolności albo pozbawienia wolności do roku. Jeśli osoba ta stosuje wobec innej osoby przemoc, groźbę bezprawną lub podstęp, podlega karze pozbawienia wolności do lat 3.</w:t>
      </w:r>
    </w:p>
    <w:p w14:paraId="7470C66F" w14:textId="77777777" w:rsidR="00FA3777" w:rsidRPr="00FA3777" w:rsidRDefault="00FA3777" w:rsidP="00FA3777">
      <w:pPr>
        <w:pStyle w:val="Akapitzlist"/>
        <w:numPr>
          <w:ilvl w:val="0"/>
          <w:numId w:val="19"/>
        </w:numPr>
        <w:jc w:val="both"/>
        <w:rPr>
          <w:rFonts w:ascii="Times New Roman" w:hAnsi="Times New Roman" w:cs="Times New Roman"/>
          <w:lang w:val="pl-PL"/>
        </w:rPr>
      </w:pPr>
      <w:r w:rsidRPr="00FA3777">
        <w:rPr>
          <w:rFonts w:ascii="Times New Roman" w:hAnsi="Times New Roman" w:cs="Times New Roman"/>
          <w:lang w:val="pl-PL"/>
        </w:rPr>
        <w:t>Osoba podejmująca działania odwetowe wobec sygnalisty, osoby pomagającej w dokonaniu zgłoszenia lub osoby powiązanej z sygnalistą, podlega grzywnie, karze ograniczenia wolności albo pozbawienia wolności do lat 2.  Jeżeli sprawca działa w sposób uporczywy, podlega karze pozbawienia wolności do lat 3.</w:t>
      </w:r>
    </w:p>
    <w:p w14:paraId="257976C1" w14:textId="77777777" w:rsidR="00FA3777" w:rsidRPr="00FA3777" w:rsidRDefault="00FA3777" w:rsidP="00FA3777">
      <w:pPr>
        <w:pStyle w:val="Akapitzlist"/>
        <w:numPr>
          <w:ilvl w:val="0"/>
          <w:numId w:val="19"/>
        </w:numPr>
        <w:jc w:val="both"/>
        <w:rPr>
          <w:rFonts w:ascii="Times New Roman" w:hAnsi="Times New Roman" w:cs="Times New Roman"/>
          <w:lang w:val="pl-PL"/>
        </w:rPr>
      </w:pPr>
      <w:r w:rsidRPr="00FA3777">
        <w:rPr>
          <w:rFonts w:ascii="Times New Roman" w:hAnsi="Times New Roman" w:cs="Times New Roman"/>
          <w:lang w:val="pl-PL"/>
        </w:rPr>
        <w:t>Osoba, wbrew przepisom ustawy, ujawniająca tożsamość sygnalisty, osoby pomagającej w dokonaniu zgłoszenia lub osoby powiązanej z sygnalistą, podlega grzywnie, karze ograniczenia wolności albo pozbawienia wolności do roku.</w:t>
      </w:r>
    </w:p>
    <w:p w14:paraId="3FCD8947" w14:textId="77777777" w:rsidR="00FA3777" w:rsidRPr="00FA3777" w:rsidRDefault="00FA3777" w:rsidP="00FA3777">
      <w:pPr>
        <w:pStyle w:val="Akapitzlist"/>
        <w:numPr>
          <w:ilvl w:val="0"/>
          <w:numId w:val="19"/>
        </w:numPr>
        <w:jc w:val="both"/>
        <w:rPr>
          <w:rFonts w:ascii="Times New Roman" w:hAnsi="Times New Roman" w:cs="Times New Roman"/>
          <w:lang w:val="pl-PL"/>
        </w:rPr>
      </w:pPr>
      <w:r w:rsidRPr="00FA3777">
        <w:rPr>
          <w:rFonts w:ascii="Times New Roman" w:hAnsi="Times New Roman" w:cs="Times New Roman"/>
          <w:lang w:val="pl-PL"/>
        </w:rPr>
        <w:t>Osoba dokonująca zgłoszenia lub ujawnienia publicznego, wiedząc, że do naruszenia prawa nie doszło, podlega grzywnie, karze ograniczenia wolności albo pozbawienia wolności do lat 2.</w:t>
      </w:r>
    </w:p>
    <w:p w14:paraId="282741EE" w14:textId="08C115C3" w:rsidR="00E23B8B" w:rsidRPr="00FA3777" w:rsidRDefault="00E23B8B" w:rsidP="00FA3777">
      <w:pPr>
        <w:pStyle w:val="Nagwek1"/>
        <w:numPr>
          <w:ilvl w:val="0"/>
          <w:numId w:val="0"/>
        </w:numPr>
        <w:ind w:left="720"/>
        <w:rPr>
          <w:rFonts w:ascii="Times New Roman" w:hAnsi="Times New Roman" w:cs="Times New Roman"/>
          <w:lang w:val="pl-PL"/>
        </w:rPr>
      </w:pPr>
    </w:p>
    <w:sectPr w:rsidR="00E23B8B" w:rsidRPr="00FA3777" w:rsidSect="004A36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D924" w14:textId="77777777" w:rsidR="00845EE7" w:rsidRDefault="00845EE7">
      <w:pPr>
        <w:spacing w:after="0" w:line="240" w:lineRule="auto"/>
      </w:pPr>
      <w:r>
        <w:separator/>
      </w:r>
    </w:p>
  </w:endnote>
  <w:endnote w:type="continuationSeparator" w:id="0">
    <w:p w14:paraId="263E39CE" w14:textId="77777777" w:rsidR="00845EE7" w:rsidRDefault="0084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w:altName w:val="Times New Roman"/>
    <w:panose1 w:val="00000500000000020000"/>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131524"/>
      <w:docPartObj>
        <w:docPartGallery w:val="Page Numbers (Bottom of Page)"/>
        <w:docPartUnique/>
      </w:docPartObj>
    </w:sdtPr>
    <w:sdtContent>
      <w:sdt>
        <w:sdtPr>
          <w:id w:val="-1769616900"/>
          <w:docPartObj>
            <w:docPartGallery w:val="Page Numbers (Top of Page)"/>
            <w:docPartUnique/>
          </w:docPartObj>
        </w:sdtPr>
        <w:sdtContent>
          <w:p w14:paraId="5E03E4D0" w14:textId="78ABC3EA" w:rsidR="004E0986" w:rsidRDefault="00E23B8B">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7F2157">
              <w:rPr>
                <w:b/>
                <w:bCs/>
                <w:noProof/>
              </w:rPr>
              <w:t>10</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7F2157">
              <w:rPr>
                <w:b/>
                <w:bCs/>
                <w:noProof/>
              </w:rPr>
              <w:t>10</w:t>
            </w:r>
            <w:r>
              <w:rPr>
                <w:b/>
                <w:bCs/>
                <w:sz w:val="24"/>
                <w:szCs w:val="24"/>
              </w:rPr>
              <w:fldChar w:fldCharType="end"/>
            </w:r>
          </w:p>
        </w:sdtContent>
      </w:sdt>
    </w:sdtContent>
  </w:sdt>
  <w:p w14:paraId="566DDFC5" w14:textId="77777777" w:rsidR="004E0986" w:rsidRDefault="004E09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4AC12" w14:textId="77777777" w:rsidR="00845EE7" w:rsidRDefault="00845EE7">
      <w:pPr>
        <w:spacing w:after="0" w:line="240" w:lineRule="auto"/>
      </w:pPr>
      <w:r>
        <w:separator/>
      </w:r>
    </w:p>
  </w:footnote>
  <w:footnote w:type="continuationSeparator" w:id="0">
    <w:p w14:paraId="5CF478B5" w14:textId="77777777" w:rsidR="00845EE7" w:rsidRDefault="00845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AC2"/>
    <w:multiLevelType w:val="hybridMultilevel"/>
    <w:tmpl w:val="F14C9C00"/>
    <w:lvl w:ilvl="0" w:tplc="FA74C226">
      <w:start w:val="1"/>
      <w:numFmt w:val="decimal"/>
      <w:pStyle w:val="Nagwe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74C93"/>
    <w:multiLevelType w:val="hybridMultilevel"/>
    <w:tmpl w:val="6024B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741CA"/>
    <w:multiLevelType w:val="hybridMultilevel"/>
    <w:tmpl w:val="C0ECD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BA2FD4"/>
    <w:multiLevelType w:val="hybridMultilevel"/>
    <w:tmpl w:val="3B5A64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513EB9"/>
    <w:multiLevelType w:val="hybridMultilevel"/>
    <w:tmpl w:val="0C7EC422"/>
    <w:lvl w:ilvl="0" w:tplc="A90A61B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B323A5"/>
    <w:multiLevelType w:val="hybridMultilevel"/>
    <w:tmpl w:val="6EFEA050"/>
    <w:lvl w:ilvl="0" w:tplc="A90A61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9148EC"/>
    <w:multiLevelType w:val="hybridMultilevel"/>
    <w:tmpl w:val="74EE72DC"/>
    <w:lvl w:ilvl="0" w:tplc="A90A61B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0B46F2E"/>
    <w:multiLevelType w:val="hybridMultilevel"/>
    <w:tmpl w:val="7E2CF814"/>
    <w:lvl w:ilvl="0" w:tplc="EC541C14">
      <w:start w:val="1"/>
      <w:numFmt w:val="decimal"/>
      <w:lvlText w:val="%1)"/>
      <w:lvlJc w:val="left"/>
      <w:pPr>
        <w:ind w:left="780" w:hanging="42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3839B6"/>
    <w:multiLevelType w:val="hybridMultilevel"/>
    <w:tmpl w:val="9154CE72"/>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12DD8"/>
    <w:multiLevelType w:val="hybridMultilevel"/>
    <w:tmpl w:val="E74028BC"/>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D3B8B"/>
    <w:multiLevelType w:val="hybridMultilevel"/>
    <w:tmpl w:val="297E51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F13FA9"/>
    <w:multiLevelType w:val="hybridMultilevel"/>
    <w:tmpl w:val="DFD45C6E"/>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57D2F"/>
    <w:multiLevelType w:val="hybridMultilevel"/>
    <w:tmpl w:val="81E6BCEE"/>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15A01"/>
    <w:multiLevelType w:val="hybridMultilevel"/>
    <w:tmpl w:val="CEAC1276"/>
    <w:lvl w:ilvl="0" w:tplc="0415000F">
      <w:start w:val="1"/>
      <w:numFmt w:val="decimal"/>
      <w:lvlText w:val="%1."/>
      <w:lvlJc w:val="left"/>
      <w:pPr>
        <w:ind w:left="720" w:hanging="360"/>
      </w:pPr>
      <w:rPr>
        <w:rFonts w:hint="default"/>
      </w:rPr>
    </w:lvl>
    <w:lvl w:ilvl="1" w:tplc="A90A61B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3E74BA"/>
    <w:multiLevelType w:val="hybridMultilevel"/>
    <w:tmpl w:val="9FF613B2"/>
    <w:lvl w:ilvl="0" w:tplc="A90A61B6">
      <w:start w:val="1"/>
      <w:numFmt w:val="bullet"/>
      <w:lvlText w:val=""/>
      <w:lvlJc w:val="left"/>
      <w:pPr>
        <w:ind w:left="1127" w:hanging="360"/>
      </w:pPr>
      <w:rPr>
        <w:rFonts w:ascii="Symbol" w:hAnsi="Symbol"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15" w15:restartNumberingAfterBreak="0">
    <w:nsid w:val="6BC655C2"/>
    <w:multiLevelType w:val="hybridMultilevel"/>
    <w:tmpl w:val="8674AD4C"/>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1755A"/>
    <w:multiLevelType w:val="hybridMultilevel"/>
    <w:tmpl w:val="AD841B52"/>
    <w:lvl w:ilvl="0" w:tplc="A90A61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B25BFF"/>
    <w:multiLevelType w:val="hybridMultilevel"/>
    <w:tmpl w:val="19289CA6"/>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F5C8B"/>
    <w:multiLevelType w:val="hybridMultilevel"/>
    <w:tmpl w:val="3328EFCA"/>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887745">
    <w:abstractNumId w:val="0"/>
  </w:num>
  <w:num w:numId="2" w16cid:durableId="270169907">
    <w:abstractNumId w:val="15"/>
  </w:num>
  <w:num w:numId="3" w16cid:durableId="272321994">
    <w:abstractNumId w:val="8"/>
  </w:num>
  <w:num w:numId="4" w16cid:durableId="1668096329">
    <w:abstractNumId w:val="6"/>
  </w:num>
  <w:num w:numId="5" w16cid:durableId="1762994258">
    <w:abstractNumId w:val="16"/>
  </w:num>
  <w:num w:numId="6" w16cid:durableId="164320249">
    <w:abstractNumId w:val="9"/>
  </w:num>
  <w:num w:numId="7" w16cid:durableId="36858810">
    <w:abstractNumId w:val="11"/>
  </w:num>
  <w:num w:numId="8" w16cid:durableId="617033563">
    <w:abstractNumId w:val="17"/>
  </w:num>
  <w:num w:numId="9" w16cid:durableId="1058281294">
    <w:abstractNumId w:val="1"/>
  </w:num>
  <w:num w:numId="10" w16cid:durableId="2040353293">
    <w:abstractNumId w:val="13"/>
  </w:num>
  <w:num w:numId="11" w16cid:durableId="1227300001">
    <w:abstractNumId w:val="4"/>
  </w:num>
  <w:num w:numId="12" w16cid:durableId="1131480682">
    <w:abstractNumId w:val="14"/>
  </w:num>
  <w:num w:numId="13" w16cid:durableId="778452215">
    <w:abstractNumId w:val="5"/>
  </w:num>
  <w:num w:numId="14" w16cid:durableId="283586061">
    <w:abstractNumId w:val="18"/>
  </w:num>
  <w:num w:numId="15" w16cid:durableId="1060055466">
    <w:abstractNumId w:val="12"/>
  </w:num>
  <w:num w:numId="16" w16cid:durableId="1302728241">
    <w:abstractNumId w:val="2"/>
  </w:num>
  <w:num w:numId="17" w16cid:durableId="686179725">
    <w:abstractNumId w:val="10"/>
  </w:num>
  <w:num w:numId="18" w16cid:durableId="976490996">
    <w:abstractNumId w:val="7"/>
  </w:num>
  <w:num w:numId="19" w16cid:durableId="1590039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8B"/>
    <w:rsid w:val="00086885"/>
    <w:rsid w:val="00087E0A"/>
    <w:rsid w:val="00094873"/>
    <w:rsid w:val="000E69C1"/>
    <w:rsid w:val="0010361D"/>
    <w:rsid w:val="001279FA"/>
    <w:rsid w:val="001B411C"/>
    <w:rsid w:val="001E3D3C"/>
    <w:rsid w:val="002540C7"/>
    <w:rsid w:val="00272FA0"/>
    <w:rsid w:val="002C35DC"/>
    <w:rsid w:val="00353D70"/>
    <w:rsid w:val="00406DFB"/>
    <w:rsid w:val="00417452"/>
    <w:rsid w:val="00445F62"/>
    <w:rsid w:val="004B15F0"/>
    <w:rsid w:val="004B16E5"/>
    <w:rsid w:val="004E0986"/>
    <w:rsid w:val="004F241F"/>
    <w:rsid w:val="00507D26"/>
    <w:rsid w:val="00541F83"/>
    <w:rsid w:val="00543EFA"/>
    <w:rsid w:val="00571CA9"/>
    <w:rsid w:val="00576254"/>
    <w:rsid w:val="005920D4"/>
    <w:rsid w:val="005A2D41"/>
    <w:rsid w:val="005C75B9"/>
    <w:rsid w:val="005F132E"/>
    <w:rsid w:val="00612C33"/>
    <w:rsid w:val="0062138F"/>
    <w:rsid w:val="00676BAE"/>
    <w:rsid w:val="006D09BC"/>
    <w:rsid w:val="006E624E"/>
    <w:rsid w:val="00730B47"/>
    <w:rsid w:val="00767E1B"/>
    <w:rsid w:val="007772F5"/>
    <w:rsid w:val="007B107A"/>
    <w:rsid w:val="007D7C9D"/>
    <w:rsid w:val="007F2157"/>
    <w:rsid w:val="0084039B"/>
    <w:rsid w:val="00845EE7"/>
    <w:rsid w:val="00897E62"/>
    <w:rsid w:val="008F686A"/>
    <w:rsid w:val="0090322B"/>
    <w:rsid w:val="00954973"/>
    <w:rsid w:val="009D34D8"/>
    <w:rsid w:val="009F1CD8"/>
    <w:rsid w:val="00A97E25"/>
    <w:rsid w:val="00AD5486"/>
    <w:rsid w:val="00AE53DB"/>
    <w:rsid w:val="00B03AE0"/>
    <w:rsid w:val="00B17E5F"/>
    <w:rsid w:val="00B349EE"/>
    <w:rsid w:val="00B519A7"/>
    <w:rsid w:val="00BE285B"/>
    <w:rsid w:val="00C17F5B"/>
    <w:rsid w:val="00C25996"/>
    <w:rsid w:val="00C37016"/>
    <w:rsid w:val="00C65E15"/>
    <w:rsid w:val="00C70E16"/>
    <w:rsid w:val="00C85C95"/>
    <w:rsid w:val="00C9449A"/>
    <w:rsid w:val="00CC07CD"/>
    <w:rsid w:val="00CC5ED2"/>
    <w:rsid w:val="00CC765E"/>
    <w:rsid w:val="00CF008C"/>
    <w:rsid w:val="00DA5D20"/>
    <w:rsid w:val="00DB45DB"/>
    <w:rsid w:val="00E23B8B"/>
    <w:rsid w:val="00E54EB6"/>
    <w:rsid w:val="00E7511D"/>
    <w:rsid w:val="00F35409"/>
    <w:rsid w:val="00FA3777"/>
    <w:rsid w:val="00FE6EC9"/>
    <w:rsid w:val="00FF3FF1"/>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A0FF"/>
  <w15:chartTrackingRefBased/>
  <w15:docId w15:val="{2F0E5196-6F7E-F043-A700-281EAB08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B8B"/>
    <w:pPr>
      <w:spacing w:after="160" w:line="259" w:lineRule="auto"/>
    </w:pPr>
    <w:rPr>
      <w:rFonts w:eastAsiaTheme="minorEastAsia"/>
      <w:sz w:val="22"/>
      <w:szCs w:val="22"/>
      <w:lang w:val="en-GB" w:eastAsia="zh-TW"/>
    </w:rPr>
  </w:style>
  <w:style w:type="paragraph" w:styleId="Nagwek10">
    <w:name w:val="heading 1"/>
    <w:basedOn w:val="Normalny"/>
    <w:next w:val="Normalny"/>
    <w:link w:val="Nagwek1Znak"/>
    <w:uiPriority w:val="9"/>
    <w:qFormat/>
    <w:rsid w:val="00E23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3B8B"/>
    <w:pPr>
      <w:ind w:left="720"/>
      <w:contextualSpacing/>
    </w:pPr>
  </w:style>
  <w:style w:type="paragraph" w:customStyle="1" w:styleId="Nagwek1">
    <w:name w:val="Nagłówek1"/>
    <w:basedOn w:val="Nagwek10"/>
    <w:next w:val="Normalny"/>
    <w:link w:val="Nagwek1Znak0"/>
    <w:qFormat/>
    <w:rsid w:val="00E23B8B"/>
    <w:pPr>
      <w:numPr>
        <w:numId w:val="1"/>
      </w:numPr>
      <w:spacing w:after="120"/>
      <w:jc w:val="both"/>
    </w:pPr>
    <w:rPr>
      <w:rFonts w:cstheme="minorHAnsi"/>
      <w:b/>
      <w:bCs/>
    </w:rPr>
  </w:style>
  <w:style w:type="character" w:customStyle="1" w:styleId="Nagwek1Znak0">
    <w:name w:val="Nagłówek1 Znak"/>
    <w:basedOn w:val="Nagwek1Znak"/>
    <w:link w:val="Nagwek1"/>
    <w:rsid w:val="00E23B8B"/>
    <w:rPr>
      <w:rFonts w:asciiTheme="majorHAnsi" w:eastAsiaTheme="majorEastAsia" w:hAnsiTheme="majorHAnsi" w:cstheme="minorHAnsi"/>
      <w:b/>
      <w:bCs/>
      <w:color w:val="2F5496" w:themeColor="accent1" w:themeShade="BF"/>
      <w:sz w:val="32"/>
      <w:szCs w:val="32"/>
      <w:lang w:val="en-GB" w:eastAsia="zh-TW"/>
    </w:rPr>
  </w:style>
  <w:style w:type="paragraph" w:styleId="Stopka">
    <w:name w:val="footer"/>
    <w:basedOn w:val="Normalny"/>
    <w:link w:val="StopkaZnak"/>
    <w:uiPriority w:val="99"/>
    <w:unhideWhenUsed/>
    <w:rsid w:val="00E23B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3B8B"/>
    <w:rPr>
      <w:rFonts w:eastAsiaTheme="minorEastAsia"/>
      <w:sz w:val="22"/>
      <w:szCs w:val="22"/>
      <w:lang w:val="en-GB" w:eastAsia="zh-TW"/>
    </w:rPr>
  </w:style>
  <w:style w:type="paragraph" w:customStyle="1" w:styleId="PKTpunkt">
    <w:name w:val="PKT – punkt"/>
    <w:uiPriority w:val="13"/>
    <w:qFormat/>
    <w:rsid w:val="00E23B8B"/>
    <w:pPr>
      <w:spacing w:line="360" w:lineRule="auto"/>
      <w:ind w:left="510" w:hanging="510"/>
      <w:jc w:val="both"/>
    </w:pPr>
    <w:rPr>
      <w:rFonts w:ascii="Times" w:eastAsiaTheme="minorEastAsia" w:hAnsi="Times" w:cs="Arial"/>
      <w:bCs/>
      <w:szCs w:val="20"/>
      <w:lang w:eastAsia="pl-PL"/>
    </w:rPr>
  </w:style>
  <w:style w:type="character" w:customStyle="1" w:styleId="Nagwek1Znak">
    <w:name w:val="Nagłówek 1 Znak"/>
    <w:basedOn w:val="Domylnaczcionkaakapitu"/>
    <w:link w:val="Nagwek10"/>
    <w:uiPriority w:val="9"/>
    <w:rsid w:val="00E23B8B"/>
    <w:rPr>
      <w:rFonts w:asciiTheme="majorHAnsi" w:eastAsiaTheme="majorEastAsia" w:hAnsiTheme="majorHAnsi" w:cstheme="majorBidi"/>
      <w:color w:val="2F5496" w:themeColor="accent1" w:themeShade="BF"/>
      <w:sz w:val="32"/>
      <w:szCs w:val="32"/>
      <w:lang w:val="en-GB" w:eastAsia="zh-TW"/>
    </w:rPr>
  </w:style>
  <w:style w:type="character" w:styleId="Hipercze">
    <w:name w:val="Hyperlink"/>
    <w:basedOn w:val="Domylnaczcionkaakapitu"/>
    <w:uiPriority w:val="99"/>
    <w:unhideWhenUsed/>
    <w:rsid w:val="00954973"/>
    <w:rPr>
      <w:color w:val="0563C1" w:themeColor="hyperlink"/>
      <w:u w:val="single"/>
    </w:rPr>
  </w:style>
  <w:style w:type="character" w:customStyle="1" w:styleId="Nierozpoznanawzmianka1">
    <w:name w:val="Nierozpoznana wzmianka1"/>
    <w:basedOn w:val="Domylnaczcionkaakapitu"/>
    <w:uiPriority w:val="99"/>
    <w:semiHidden/>
    <w:unhideWhenUsed/>
    <w:rsid w:val="00954973"/>
    <w:rPr>
      <w:color w:val="605E5C"/>
      <w:shd w:val="clear" w:color="auto" w:fill="E1DFDD"/>
    </w:rPr>
  </w:style>
  <w:style w:type="character" w:styleId="UyteHipercze">
    <w:name w:val="FollowedHyperlink"/>
    <w:basedOn w:val="Domylnaczcionkaakapitu"/>
    <w:uiPriority w:val="99"/>
    <w:semiHidden/>
    <w:unhideWhenUsed/>
    <w:rsid w:val="009F1CD8"/>
    <w:rPr>
      <w:color w:val="954F72" w:themeColor="followedHyperlink"/>
      <w:u w:val="single"/>
    </w:rPr>
  </w:style>
  <w:style w:type="paragraph" w:customStyle="1" w:styleId="artartustawynprozporzdzenia">
    <w:name w:val="artartustawynprozporzdzenia"/>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ppogrubienie">
    <w:name w:val="ppogrubienie"/>
    <w:basedOn w:val="Domylnaczcionkaakapitu"/>
    <w:rsid w:val="007B107A"/>
  </w:style>
  <w:style w:type="paragraph" w:customStyle="1" w:styleId="pktpunkt0">
    <w:name w:val="pktpunkt"/>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ustustnpkodeksu">
    <w:name w:val="ustustnpkodeksu"/>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Nierozpoznanawzmianka">
    <w:name w:val="Unresolved Mention"/>
    <w:basedOn w:val="Domylnaczcionkaakapitu"/>
    <w:uiPriority w:val="99"/>
    <w:semiHidden/>
    <w:unhideWhenUsed/>
    <w:rsid w:val="00AD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2880">
      <w:bodyDiv w:val="1"/>
      <w:marLeft w:val="0"/>
      <w:marRight w:val="0"/>
      <w:marTop w:val="0"/>
      <w:marBottom w:val="0"/>
      <w:divBdr>
        <w:top w:val="none" w:sz="0" w:space="0" w:color="auto"/>
        <w:left w:val="none" w:sz="0" w:space="0" w:color="auto"/>
        <w:bottom w:val="none" w:sz="0" w:space="0" w:color="auto"/>
        <w:right w:val="none" w:sz="0" w:space="0" w:color="auto"/>
      </w:divBdr>
      <w:divsChild>
        <w:div w:id="843398082">
          <w:marLeft w:val="0"/>
          <w:marRight w:val="0"/>
          <w:marTop w:val="0"/>
          <w:marBottom w:val="0"/>
          <w:divBdr>
            <w:top w:val="none" w:sz="0" w:space="0" w:color="auto"/>
            <w:left w:val="none" w:sz="0" w:space="0" w:color="auto"/>
            <w:bottom w:val="none" w:sz="0" w:space="0" w:color="auto"/>
            <w:right w:val="none" w:sz="0" w:space="0" w:color="auto"/>
          </w:divBdr>
          <w:divsChild>
            <w:div w:id="21224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307">
      <w:bodyDiv w:val="1"/>
      <w:marLeft w:val="0"/>
      <w:marRight w:val="0"/>
      <w:marTop w:val="0"/>
      <w:marBottom w:val="0"/>
      <w:divBdr>
        <w:top w:val="none" w:sz="0" w:space="0" w:color="auto"/>
        <w:left w:val="none" w:sz="0" w:space="0" w:color="auto"/>
        <w:bottom w:val="none" w:sz="0" w:space="0" w:color="auto"/>
        <w:right w:val="none" w:sz="0" w:space="0" w:color="auto"/>
      </w:divBdr>
    </w:div>
    <w:div w:id="664554278">
      <w:bodyDiv w:val="1"/>
      <w:marLeft w:val="0"/>
      <w:marRight w:val="0"/>
      <w:marTop w:val="0"/>
      <w:marBottom w:val="0"/>
      <w:divBdr>
        <w:top w:val="none" w:sz="0" w:space="0" w:color="auto"/>
        <w:left w:val="none" w:sz="0" w:space="0" w:color="auto"/>
        <w:bottom w:val="none" w:sz="0" w:space="0" w:color="auto"/>
        <w:right w:val="none" w:sz="0" w:space="0" w:color="auto"/>
      </w:divBdr>
    </w:div>
    <w:div w:id="791947154">
      <w:bodyDiv w:val="1"/>
      <w:marLeft w:val="0"/>
      <w:marRight w:val="0"/>
      <w:marTop w:val="0"/>
      <w:marBottom w:val="0"/>
      <w:divBdr>
        <w:top w:val="none" w:sz="0" w:space="0" w:color="auto"/>
        <w:left w:val="none" w:sz="0" w:space="0" w:color="auto"/>
        <w:bottom w:val="none" w:sz="0" w:space="0" w:color="auto"/>
        <w:right w:val="none" w:sz="0" w:space="0" w:color="auto"/>
      </w:divBdr>
    </w:div>
    <w:div w:id="879711688">
      <w:bodyDiv w:val="1"/>
      <w:marLeft w:val="0"/>
      <w:marRight w:val="0"/>
      <w:marTop w:val="0"/>
      <w:marBottom w:val="0"/>
      <w:divBdr>
        <w:top w:val="none" w:sz="0" w:space="0" w:color="auto"/>
        <w:left w:val="none" w:sz="0" w:space="0" w:color="auto"/>
        <w:bottom w:val="none" w:sz="0" w:space="0" w:color="auto"/>
        <w:right w:val="none" w:sz="0" w:space="0" w:color="auto"/>
      </w:divBdr>
    </w:div>
    <w:div w:id="1797870664">
      <w:bodyDiv w:val="1"/>
      <w:marLeft w:val="0"/>
      <w:marRight w:val="0"/>
      <w:marTop w:val="0"/>
      <w:marBottom w:val="0"/>
      <w:divBdr>
        <w:top w:val="none" w:sz="0" w:space="0" w:color="auto"/>
        <w:left w:val="none" w:sz="0" w:space="0" w:color="auto"/>
        <w:bottom w:val="none" w:sz="0" w:space="0" w:color="auto"/>
        <w:right w:val="none" w:sz="0" w:space="0" w:color="auto"/>
      </w:divBdr>
      <w:divsChild>
        <w:div w:id="725488394">
          <w:marLeft w:val="0"/>
          <w:marRight w:val="0"/>
          <w:marTop w:val="0"/>
          <w:marBottom w:val="0"/>
          <w:divBdr>
            <w:top w:val="none" w:sz="0" w:space="0" w:color="auto"/>
            <w:left w:val="none" w:sz="0" w:space="0" w:color="auto"/>
            <w:bottom w:val="none" w:sz="0" w:space="0" w:color="auto"/>
            <w:right w:val="none" w:sz="0" w:space="0" w:color="auto"/>
          </w:divBdr>
          <w:divsChild>
            <w:div w:id="406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5453">
      <w:bodyDiv w:val="1"/>
      <w:marLeft w:val="0"/>
      <w:marRight w:val="0"/>
      <w:marTop w:val="0"/>
      <w:marBottom w:val="0"/>
      <w:divBdr>
        <w:top w:val="none" w:sz="0" w:space="0" w:color="auto"/>
        <w:left w:val="none" w:sz="0" w:space="0" w:color="auto"/>
        <w:bottom w:val="none" w:sz="0" w:space="0" w:color="auto"/>
        <w:right w:val="none" w:sz="0" w:space="0" w:color="auto"/>
      </w:divBdr>
    </w:div>
    <w:div w:id="20018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uyhjkbihijuykbgt.anonimowysygnalist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3869</Words>
  <Characters>23219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Pryliński</dc:creator>
  <cp:keywords/>
  <dc:description/>
  <cp:lastModifiedBy>Piotr Pryliński 2</cp:lastModifiedBy>
  <cp:revision>4</cp:revision>
  <cp:lastPrinted>2024-09-03T08:46:00Z</cp:lastPrinted>
  <dcterms:created xsi:type="dcterms:W3CDTF">2024-10-08T15:19:00Z</dcterms:created>
  <dcterms:modified xsi:type="dcterms:W3CDTF">2025-02-03T15:17:00Z</dcterms:modified>
  <cp:category/>
</cp:coreProperties>
</file>