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2" w:rsidRDefault="000677A1" w:rsidP="00897072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r w:rsidR="00897072">
        <w:rPr>
          <w:rFonts w:ascii="Arial" w:hAnsi="Arial" w:cs="Arial"/>
          <w:b/>
          <w:bCs/>
          <w:spacing w:val="-5"/>
          <w:sz w:val="20"/>
          <w:szCs w:val="20"/>
        </w:rPr>
        <w:t>I</w:t>
      </w:r>
    </w:p>
    <w:p w:rsidR="0092641A" w:rsidRPr="001F6058" w:rsidRDefault="0092641A" w:rsidP="00897072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Leszka Heinzla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12520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125208">
        <w:rPr>
          <w:rFonts w:ascii="Arial" w:eastAsia="Times New Roman" w:hAnsi="Arial" w:cs="Arial"/>
          <w:sz w:val="20"/>
          <w:szCs w:val="20"/>
          <w:lang w:eastAsia="ar-SA"/>
        </w:rPr>
        <w:t xml:space="preserve">remontu kominów na budynku zaplecza Stadionu Miejskiego OSiR przy ul. Żwirki 6  </w:t>
      </w:r>
    </w:p>
    <w:p w:rsidR="0092641A" w:rsidRPr="00225BCB" w:rsidRDefault="00125208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 w:rsidR="000868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086891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Rozbiórka kominów z cegły ceramicznej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Murowanie kominów z cegły ceramicznej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Roboty tynkarskie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Malowanie kominów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Roboty porządkowe i wywóz odpadów.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A23C13" w:rsidRDefault="00A23C13" w:rsidP="00A23C13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A23C13" w:rsidRDefault="00A23C13" w:rsidP="00A23C13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lastRenderedPageBreak/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STWiORB.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A23C13" w:rsidRDefault="00A23C13" w:rsidP="00A23C13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A23C13" w:rsidRDefault="00A23C13" w:rsidP="00A23C13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A23C13" w:rsidRDefault="00A23C13" w:rsidP="00A23C13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A23C13" w:rsidRDefault="00A23C13" w:rsidP="00A23C13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Wykonawcy jak i podwykonawcy będą wykonywane przez osoby zatrudnione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na podstawie umowy o pracę.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4. Zastępstwo czasowe lub stałe osób wskazanych w trakcie realizacji przedmiotu zamówienia może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A23C13" w:rsidRDefault="00A23C13" w:rsidP="00A23C13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A23C13" w:rsidRDefault="00A23C13" w:rsidP="00A23C13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A23C13" w:rsidRDefault="00A23C13" w:rsidP="00A23C13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A23C13" w:rsidRDefault="00A23C13" w:rsidP="00A23C13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A23C13" w:rsidRDefault="00A23C13" w:rsidP="00A23C13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A23C13" w:rsidRDefault="00A23C13" w:rsidP="00A23C13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A23C13" w:rsidRDefault="00A23C13" w:rsidP="00A23C13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A23C13" w:rsidRDefault="00A23C13" w:rsidP="00A23C13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A23C13" w:rsidRDefault="00A23C13" w:rsidP="00A23C13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A23C13" w:rsidRDefault="00A23C13" w:rsidP="00A23C13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2.5. Za każdy przypadek nieterminowej zapłaty wynagrodzenia należnego Podwykonawcy lub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A23C13" w:rsidRDefault="00A23C13" w:rsidP="00A23C13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zawartą z Zamawiającym.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A23C13" w:rsidRDefault="00A23C13" w:rsidP="00A23C13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A23C13" w:rsidRDefault="00A23C13" w:rsidP="00A23C13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A23C13" w:rsidRDefault="00A23C13" w:rsidP="00A23C13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9. Umowa o podwykonawstwo nie może zawierać postanowień: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A23C13" w:rsidRDefault="00A23C13" w:rsidP="00A23C13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A23C13" w:rsidRDefault="00A23C13" w:rsidP="00A23C13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A23C13" w:rsidRDefault="00A23C13" w:rsidP="00A23C13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A23C13" w:rsidRDefault="00A23C13" w:rsidP="00A23C13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licząc od otrzymania zawiadomienia o usunięciu wad.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A23C13" w:rsidRDefault="00A23C13" w:rsidP="00A23C13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14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wskazanego w punkcie a), Zamawiający może powierzyć wykonanie zabezpieczenia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Zamawiający w razie odstąpienia od umowy obowiązany będzie do: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4.1.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odebrane.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Przejęcia od Wykonawcy pod swój dozór terenu budowy.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pzp.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następujących sytuacjach: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Konieczności zrealizowania jakiejkolwiek części robót, objętej przedmiotem umowy, przy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zastosowaniu odmiennych rozwiązań technicznych, materiałowych lub technologicznych, niż 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wskazane w dokumentacji projektowej, a wynikających ze stwierdzonych wad tej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dokumentacji, zmiany stanu prawnego lub technologii w oparciu, o które je przygotowano,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gdyby zastosowanie pierwotnych rozwiązań groziło niewykonaniem lub nienależytym </w:t>
      </w:r>
    </w:p>
    <w:p w:rsidR="00A23C13" w:rsidRDefault="00A23C13" w:rsidP="00A23C1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wykonaniem przedmiotu umowy.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 pkt 3.1.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zwiększenie wysokości wynagrodzenia.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5.4. Propozycję zmiany terminu realizacji umowy.</w:t>
      </w:r>
    </w:p>
    <w:p w:rsidR="00A23C13" w:rsidRDefault="00A23C13" w:rsidP="00A23C13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 z przeznaczeniem po 1 egzemplarzu dla Zamawiającego i dla Wykonawcy.</w:t>
      </w:r>
    </w:p>
    <w:p w:rsidR="00A23C13" w:rsidRDefault="00A23C13" w:rsidP="00A23C13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A23C13" w:rsidRDefault="00A23C13" w:rsidP="00A23C13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A23C13" w:rsidRDefault="00A23C13" w:rsidP="00A23C13">
      <w:pPr>
        <w:rPr>
          <w:rFonts w:ascii="Arial" w:hAnsi="Arial" w:cs="Arial"/>
          <w:sz w:val="20"/>
          <w:szCs w:val="20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A23C13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A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A6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81"/>
    <w:multiLevelType w:val="multilevel"/>
    <w:tmpl w:val="002AC9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F74CF"/>
    <w:multiLevelType w:val="hybridMultilevel"/>
    <w:tmpl w:val="0468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4B93064"/>
    <w:multiLevelType w:val="multilevel"/>
    <w:tmpl w:val="3AC4BB8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6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361B9"/>
    <w:rsid w:val="000677A1"/>
    <w:rsid w:val="00086891"/>
    <w:rsid w:val="000B7A79"/>
    <w:rsid w:val="00125208"/>
    <w:rsid w:val="001F6058"/>
    <w:rsid w:val="00225BCB"/>
    <w:rsid w:val="002D3C60"/>
    <w:rsid w:val="002E1936"/>
    <w:rsid w:val="00376956"/>
    <w:rsid w:val="00380D72"/>
    <w:rsid w:val="003B56D8"/>
    <w:rsid w:val="00416232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897072"/>
    <w:rsid w:val="0092641A"/>
    <w:rsid w:val="009736D0"/>
    <w:rsid w:val="00995A94"/>
    <w:rsid w:val="00A23C13"/>
    <w:rsid w:val="00A638F9"/>
    <w:rsid w:val="00A86A61"/>
    <w:rsid w:val="00C914EC"/>
    <w:rsid w:val="00CB3230"/>
    <w:rsid w:val="00CF3340"/>
    <w:rsid w:val="00D5259A"/>
    <w:rsid w:val="00E30C99"/>
    <w:rsid w:val="00E465B3"/>
    <w:rsid w:val="00E77766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25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2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25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25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2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2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F68B-9A0A-4804-83CA-CF8152EA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4292</Words>
  <Characters>25755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19</cp:revision>
  <cp:lastPrinted>2018-07-23T08:59:00Z</cp:lastPrinted>
  <dcterms:created xsi:type="dcterms:W3CDTF">2018-05-06T17:35:00Z</dcterms:created>
  <dcterms:modified xsi:type="dcterms:W3CDTF">2018-07-23T08:59:00Z</dcterms:modified>
</cp:coreProperties>
</file>